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A556" w14:textId="0D835D20" w:rsidR="00766995" w:rsidRDefault="00F00552" w:rsidP="0058374C">
      <w:pPr>
        <w:jc w:val="center"/>
        <w:rPr>
          <w:rFonts w:ascii="Arial" w:hAnsi="Arial" w:cs="Arial"/>
          <w:b/>
          <w:bCs/>
          <w:i/>
          <w:iCs/>
        </w:rPr>
      </w:pPr>
      <w:bookmarkStart w:id="0" w:name="_Hlk152604626"/>
      <w:r>
        <w:rPr>
          <w:rFonts w:ascii="Arial" w:hAnsi="Arial" w:cs="Arial"/>
          <w:b/>
          <w:bCs/>
          <w:sz w:val="28"/>
          <w:szCs w:val="28"/>
        </w:rPr>
        <w:t xml:space="preserve">MULTIPLE </w:t>
      </w:r>
      <w:r w:rsidR="00D545C3">
        <w:rPr>
          <w:rFonts w:ascii="Arial" w:hAnsi="Arial" w:cs="Arial"/>
          <w:b/>
          <w:bCs/>
          <w:sz w:val="28"/>
          <w:szCs w:val="28"/>
        </w:rPr>
        <w:t>VICTIMS</w:t>
      </w:r>
      <w:r w:rsidR="001C3088" w:rsidRPr="004C6213">
        <w:rPr>
          <w:rFonts w:ascii="Arial" w:hAnsi="Arial" w:cs="Arial"/>
          <w:b/>
          <w:bCs/>
          <w:sz w:val="28"/>
          <w:szCs w:val="28"/>
        </w:rPr>
        <w:t xml:space="preserve"> FILE</w:t>
      </w:r>
      <w:r w:rsidR="00D545C3">
        <w:rPr>
          <w:rFonts w:ascii="Arial" w:hAnsi="Arial" w:cs="Arial"/>
          <w:b/>
          <w:bCs/>
          <w:sz w:val="28"/>
          <w:szCs w:val="28"/>
        </w:rPr>
        <w:t xml:space="preserve"> CLAIM</w:t>
      </w:r>
      <w:r w:rsidR="001C3088" w:rsidRPr="004C6213">
        <w:rPr>
          <w:rFonts w:ascii="Arial" w:hAnsi="Arial" w:cs="Arial"/>
          <w:b/>
          <w:bCs/>
          <w:sz w:val="28"/>
          <w:szCs w:val="28"/>
        </w:rPr>
        <w:t xml:space="preserve"> </w:t>
      </w:r>
      <w:r>
        <w:rPr>
          <w:rFonts w:ascii="Arial" w:hAnsi="Arial" w:cs="Arial"/>
          <w:b/>
          <w:bCs/>
          <w:sz w:val="28"/>
          <w:szCs w:val="28"/>
        </w:rPr>
        <w:t>AGAINST FIDELITY OVER ADVISOR</w:t>
      </w:r>
      <w:r w:rsidR="001C3088" w:rsidRPr="004C6213">
        <w:rPr>
          <w:rFonts w:ascii="Arial" w:hAnsi="Arial" w:cs="Arial"/>
          <w:b/>
          <w:bCs/>
          <w:sz w:val="28"/>
          <w:szCs w:val="28"/>
        </w:rPr>
        <w:t xml:space="preserve"> </w:t>
      </w:r>
      <w:r w:rsidR="00AF6B6B">
        <w:rPr>
          <w:rFonts w:ascii="Arial" w:hAnsi="Arial" w:cs="Arial"/>
          <w:b/>
          <w:bCs/>
          <w:sz w:val="28"/>
          <w:szCs w:val="28"/>
        </w:rPr>
        <w:t>WHO</w:t>
      </w:r>
      <w:r w:rsidR="004C6213">
        <w:rPr>
          <w:rFonts w:ascii="Arial" w:hAnsi="Arial" w:cs="Arial"/>
          <w:b/>
          <w:bCs/>
          <w:sz w:val="28"/>
          <w:szCs w:val="28"/>
        </w:rPr>
        <w:t xml:space="preserve"> </w:t>
      </w:r>
      <w:r w:rsidR="00AF6B6B">
        <w:rPr>
          <w:rFonts w:ascii="Arial" w:hAnsi="Arial" w:cs="Arial"/>
          <w:b/>
          <w:bCs/>
          <w:sz w:val="28"/>
          <w:szCs w:val="28"/>
        </w:rPr>
        <w:t>L</w:t>
      </w:r>
      <w:r w:rsidR="004C6213">
        <w:rPr>
          <w:rFonts w:ascii="Arial" w:hAnsi="Arial" w:cs="Arial"/>
          <w:b/>
          <w:bCs/>
          <w:sz w:val="28"/>
          <w:szCs w:val="28"/>
        </w:rPr>
        <w:t xml:space="preserve">OST $11 MILLION </w:t>
      </w:r>
      <w:r w:rsidR="00AF6B6B">
        <w:rPr>
          <w:rFonts w:ascii="Arial" w:hAnsi="Arial" w:cs="Arial"/>
          <w:b/>
          <w:bCs/>
          <w:sz w:val="28"/>
          <w:szCs w:val="28"/>
        </w:rPr>
        <w:t>ON “EXTREMELY RISKY” INVESTMENTS</w:t>
      </w:r>
      <w:r w:rsidR="004C6213" w:rsidRPr="004C6213">
        <w:rPr>
          <w:rFonts w:ascii="Arial" w:hAnsi="Arial" w:cs="Arial"/>
          <w:b/>
          <w:bCs/>
          <w:sz w:val="28"/>
          <w:szCs w:val="28"/>
        </w:rPr>
        <w:t xml:space="preserve"> </w:t>
      </w:r>
      <w:r w:rsidR="001C3088" w:rsidRPr="004C6213">
        <w:rPr>
          <w:rFonts w:ascii="Arial" w:hAnsi="Arial" w:cs="Arial"/>
          <w:b/>
          <w:bCs/>
          <w:sz w:val="28"/>
          <w:szCs w:val="28"/>
        </w:rPr>
        <w:t xml:space="preserve"> </w:t>
      </w:r>
    </w:p>
    <w:bookmarkEnd w:id="0"/>
    <w:p w14:paraId="5A9294B4" w14:textId="77777777" w:rsidR="009C6D11" w:rsidRDefault="009C6D11" w:rsidP="009C6D11">
      <w:pPr>
        <w:jc w:val="center"/>
        <w:rPr>
          <w:rFonts w:ascii="Arial" w:hAnsi="Arial" w:cs="Arial"/>
          <w:b/>
          <w:bCs/>
          <w:i/>
          <w:iCs/>
        </w:rPr>
      </w:pPr>
    </w:p>
    <w:p w14:paraId="57930FA6" w14:textId="17F65DC2" w:rsidR="00766995" w:rsidRDefault="00F00552" w:rsidP="00766995">
      <w:pPr>
        <w:jc w:val="center"/>
        <w:rPr>
          <w:rFonts w:ascii="Arial" w:hAnsi="Arial" w:cs="Arial"/>
          <w:b/>
          <w:bCs/>
          <w:i/>
          <w:iCs/>
        </w:rPr>
      </w:pPr>
      <w:r>
        <w:rPr>
          <w:rFonts w:ascii="Arial" w:hAnsi="Arial" w:cs="Arial"/>
          <w:b/>
          <w:bCs/>
          <w:i/>
          <w:iCs/>
        </w:rPr>
        <w:t xml:space="preserve">Many of </w:t>
      </w:r>
      <w:r w:rsidR="004C6213">
        <w:rPr>
          <w:rFonts w:ascii="Arial" w:hAnsi="Arial" w:cs="Arial"/>
          <w:b/>
          <w:bCs/>
          <w:i/>
          <w:iCs/>
        </w:rPr>
        <w:t xml:space="preserve">Thomas Chadwick’s Clients </w:t>
      </w:r>
      <w:r>
        <w:rPr>
          <w:rFonts w:ascii="Arial" w:hAnsi="Arial" w:cs="Arial"/>
          <w:b/>
          <w:bCs/>
          <w:i/>
          <w:iCs/>
        </w:rPr>
        <w:t xml:space="preserve">Were </w:t>
      </w:r>
      <w:r w:rsidR="00D62A60">
        <w:rPr>
          <w:rFonts w:ascii="Arial" w:hAnsi="Arial" w:cs="Arial"/>
          <w:b/>
          <w:bCs/>
          <w:i/>
          <w:iCs/>
        </w:rPr>
        <w:t xml:space="preserve">Fixed-Income </w:t>
      </w:r>
      <w:r w:rsidR="004C6213">
        <w:rPr>
          <w:rFonts w:ascii="Arial" w:hAnsi="Arial" w:cs="Arial"/>
          <w:b/>
          <w:bCs/>
          <w:i/>
          <w:iCs/>
        </w:rPr>
        <w:t xml:space="preserve">Retirees </w:t>
      </w:r>
      <w:r w:rsidR="000F7D9A">
        <w:rPr>
          <w:rFonts w:ascii="Arial" w:hAnsi="Arial" w:cs="Arial"/>
          <w:b/>
          <w:bCs/>
          <w:i/>
          <w:iCs/>
        </w:rPr>
        <w:t>in New Hampshire</w:t>
      </w:r>
      <w:r w:rsidR="001B12BA" w:rsidRPr="001B12BA">
        <w:rPr>
          <w:rFonts w:ascii="Arial" w:hAnsi="Arial" w:cs="Arial"/>
          <w:b/>
          <w:bCs/>
          <w:i/>
          <w:iCs/>
        </w:rPr>
        <w:t xml:space="preserve"> </w:t>
      </w:r>
      <w:r w:rsidR="001B12BA">
        <w:rPr>
          <w:rFonts w:ascii="Arial" w:hAnsi="Arial" w:cs="Arial"/>
          <w:b/>
          <w:bCs/>
          <w:i/>
          <w:iCs/>
        </w:rPr>
        <w:t>and Vermont</w:t>
      </w:r>
      <w:r w:rsidR="004C6213">
        <w:rPr>
          <w:rFonts w:ascii="Arial" w:hAnsi="Arial" w:cs="Arial"/>
          <w:b/>
          <w:bCs/>
          <w:i/>
          <w:iCs/>
        </w:rPr>
        <w:t>; Dozens of Additional Victims</w:t>
      </w:r>
      <w:r w:rsidR="00D62A60">
        <w:rPr>
          <w:rFonts w:ascii="Arial" w:hAnsi="Arial" w:cs="Arial"/>
          <w:b/>
          <w:bCs/>
          <w:i/>
          <w:iCs/>
        </w:rPr>
        <w:t xml:space="preserve"> </w:t>
      </w:r>
      <w:r w:rsidR="008B5718">
        <w:rPr>
          <w:rFonts w:ascii="Arial" w:hAnsi="Arial" w:cs="Arial"/>
          <w:b/>
          <w:bCs/>
          <w:i/>
          <w:iCs/>
        </w:rPr>
        <w:t xml:space="preserve">Could </w:t>
      </w:r>
      <w:proofErr w:type="gramStart"/>
      <w:r w:rsidR="008B5718">
        <w:rPr>
          <w:rFonts w:ascii="Arial" w:hAnsi="Arial" w:cs="Arial"/>
          <w:b/>
          <w:bCs/>
          <w:i/>
          <w:iCs/>
        </w:rPr>
        <w:t>Take Action</w:t>
      </w:r>
      <w:proofErr w:type="gramEnd"/>
      <w:r w:rsidR="008B5718">
        <w:rPr>
          <w:rFonts w:ascii="Arial" w:hAnsi="Arial" w:cs="Arial"/>
          <w:b/>
          <w:bCs/>
          <w:i/>
          <w:iCs/>
        </w:rPr>
        <w:t xml:space="preserve"> Over Fidelity’s Supervisory Failures</w:t>
      </w:r>
      <w:r w:rsidR="004C6213">
        <w:rPr>
          <w:rFonts w:ascii="Arial" w:hAnsi="Arial" w:cs="Arial"/>
          <w:b/>
          <w:bCs/>
          <w:i/>
          <w:iCs/>
        </w:rPr>
        <w:t>.</w:t>
      </w:r>
    </w:p>
    <w:p w14:paraId="49B0929D" w14:textId="77777777" w:rsidR="001C3088" w:rsidRDefault="001C3088" w:rsidP="000E200B">
      <w:pPr>
        <w:rPr>
          <w:rFonts w:ascii="Arial" w:hAnsi="Arial" w:cs="Arial"/>
          <w:b/>
          <w:bCs/>
        </w:rPr>
      </w:pPr>
    </w:p>
    <w:p w14:paraId="48D29614" w14:textId="3A0C5258" w:rsidR="00D545C3" w:rsidRDefault="00262AFB" w:rsidP="000E200B">
      <w:r>
        <w:rPr>
          <w:rFonts w:ascii="Arial" w:hAnsi="Arial" w:cs="Arial"/>
          <w:b/>
          <w:bCs/>
        </w:rPr>
        <w:t>CONCORD, NH</w:t>
      </w:r>
      <w:r w:rsidR="00CB4826">
        <w:rPr>
          <w:rFonts w:ascii="Arial" w:hAnsi="Arial" w:cs="Arial"/>
          <w:b/>
          <w:bCs/>
        </w:rPr>
        <w:t xml:space="preserve"> </w:t>
      </w:r>
      <w:r w:rsidR="00CB4826" w:rsidRPr="00236C0B">
        <w:rPr>
          <w:rFonts w:ascii="Arial" w:hAnsi="Arial" w:cs="Arial"/>
          <w:b/>
          <w:bCs/>
        </w:rPr>
        <w:t xml:space="preserve">– </w:t>
      </w:r>
      <w:r w:rsidR="00F041E4">
        <w:rPr>
          <w:rFonts w:ascii="Arial" w:hAnsi="Arial" w:cs="Arial"/>
          <w:b/>
          <w:bCs/>
        </w:rPr>
        <w:t xml:space="preserve">JANUARY </w:t>
      </w:r>
      <w:r w:rsidR="00275329">
        <w:rPr>
          <w:rFonts w:ascii="Arial" w:hAnsi="Arial" w:cs="Arial"/>
          <w:b/>
          <w:bCs/>
        </w:rPr>
        <w:t>29</w:t>
      </w:r>
      <w:r w:rsidR="00CB4826" w:rsidRPr="00236C0B">
        <w:rPr>
          <w:rFonts w:ascii="Arial" w:hAnsi="Arial" w:cs="Arial"/>
          <w:b/>
          <w:bCs/>
        </w:rPr>
        <w:t xml:space="preserve">, </w:t>
      </w:r>
      <w:r w:rsidR="00275329" w:rsidRPr="00236C0B">
        <w:rPr>
          <w:rFonts w:ascii="Arial" w:hAnsi="Arial" w:cs="Arial"/>
          <w:b/>
          <w:bCs/>
        </w:rPr>
        <w:t>202</w:t>
      </w:r>
      <w:r w:rsidR="00275329">
        <w:rPr>
          <w:rFonts w:ascii="Arial" w:hAnsi="Arial" w:cs="Arial"/>
          <w:b/>
          <w:bCs/>
        </w:rPr>
        <w:t>5</w:t>
      </w:r>
      <w:r w:rsidR="00275329" w:rsidRPr="00236C0B">
        <w:rPr>
          <w:rFonts w:ascii="Arial" w:hAnsi="Arial" w:cs="Arial"/>
          <w:b/>
          <w:bCs/>
        </w:rPr>
        <w:t xml:space="preserve"> </w:t>
      </w:r>
      <w:r w:rsidR="00CB4826" w:rsidRPr="00236C0B">
        <w:rPr>
          <w:rFonts w:ascii="Arial" w:hAnsi="Arial" w:cs="Arial"/>
          <w:b/>
          <w:bCs/>
        </w:rPr>
        <w:t>–</w:t>
      </w:r>
      <w:r w:rsidR="00766995">
        <w:rPr>
          <w:rFonts w:ascii="Arial" w:hAnsi="Arial" w:cs="Arial"/>
          <w:b/>
          <w:bCs/>
        </w:rPr>
        <w:t xml:space="preserve"> </w:t>
      </w:r>
      <w:r w:rsidR="00BB099B">
        <w:rPr>
          <w:rFonts w:ascii="Arial" w:hAnsi="Arial" w:cs="Arial"/>
        </w:rPr>
        <w:t>Former clients</w:t>
      </w:r>
      <w:r w:rsidR="00954021">
        <w:rPr>
          <w:rFonts w:ascii="Arial" w:hAnsi="Arial" w:cs="Arial"/>
        </w:rPr>
        <w:t xml:space="preserve"> of </w:t>
      </w:r>
      <w:r w:rsidR="001B12BA">
        <w:rPr>
          <w:rFonts w:ascii="Arial" w:hAnsi="Arial" w:cs="Arial"/>
        </w:rPr>
        <w:t xml:space="preserve">the </w:t>
      </w:r>
      <w:r w:rsidR="00EB3C1A">
        <w:rPr>
          <w:rFonts w:ascii="Arial" w:hAnsi="Arial" w:cs="Arial"/>
        </w:rPr>
        <w:t xml:space="preserve">investment </w:t>
      </w:r>
      <w:r w:rsidR="001B12BA">
        <w:rPr>
          <w:rFonts w:ascii="Arial" w:hAnsi="Arial" w:cs="Arial"/>
        </w:rPr>
        <w:t>advisor</w:t>
      </w:r>
      <w:r w:rsidR="001B12BA" w:rsidRPr="002E0685">
        <w:rPr>
          <w:rFonts w:ascii="Arial" w:hAnsi="Arial" w:cs="Arial"/>
        </w:rPr>
        <w:t xml:space="preserve"> </w:t>
      </w:r>
      <w:r w:rsidR="002E0685" w:rsidRPr="002E0685">
        <w:rPr>
          <w:rFonts w:ascii="Arial" w:hAnsi="Arial" w:cs="Arial"/>
        </w:rPr>
        <w:t>Thomas Chadwick</w:t>
      </w:r>
      <w:r w:rsidR="002E0685">
        <w:rPr>
          <w:rFonts w:ascii="Arial" w:hAnsi="Arial" w:cs="Arial"/>
        </w:rPr>
        <w:t xml:space="preserve"> </w:t>
      </w:r>
      <w:r w:rsidR="00D545C3">
        <w:rPr>
          <w:rFonts w:ascii="Arial" w:hAnsi="Arial" w:cs="Arial"/>
        </w:rPr>
        <w:t xml:space="preserve">brought a major action against </w:t>
      </w:r>
      <w:r w:rsidR="00D545C3" w:rsidRPr="00D545C3">
        <w:rPr>
          <w:rFonts w:ascii="Arial" w:hAnsi="Arial" w:cs="Arial"/>
        </w:rPr>
        <w:t>Fidelity Brokerage Services</w:t>
      </w:r>
      <w:r w:rsidR="00121E7A">
        <w:rPr>
          <w:rFonts w:ascii="Arial" w:hAnsi="Arial" w:cs="Arial"/>
        </w:rPr>
        <w:t xml:space="preserve"> (Fidelity)</w:t>
      </w:r>
      <w:r w:rsidR="00D545C3" w:rsidRPr="00D545C3">
        <w:t xml:space="preserve"> </w:t>
      </w:r>
      <w:r w:rsidR="00D545C3" w:rsidRPr="00954021">
        <w:rPr>
          <w:rFonts w:ascii="Arial" w:hAnsi="Arial" w:cs="Arial"/>
        </w:rPr>
        <w:t xml:space="preserve">for its role </w:t>
      </w:r>
      <w:r w:rsidR="00954021">
        <w:rPr>
          <w:rFonts w:ascii="Arial" w:hAnsi="Arial" w:cs="Arial"/>
        </w:rPr>
        <w:t xml:space="preserve">in </w:t>
      </w:r>
      <w:r w:rsidR="00A44B2F">
        <w:rPr>
          <w:rFonts w:ascii="Arial" w:hAnsi="Arial" w:cs="Arial"/>
        </w:rPr>
        <w:t xml:space="preserve">failing to protect </w:t>
      </w:r>
      <w:r w:rsidR="001B12BA">
        <w:rPr>
          <w:rFonts w:ascii="Arial" w:hAnsi="Arial" w:cs="Arial"/>
        </w:rPr>
        <w:t>them</w:t>
      </w:r>
      <w:r w:rsidR="00A44B2F">
        <w:rPr>
          <w:rFonts w:ascii="Arial" w:hAnsi="Arial" w:cs="Arial"/>
        </w:rPr>
        <w:t xml:space="preserve"> from </w:t>
      </w:r>
      <w:r w:rsidR="00631E54">
        <w:rPr>
          <w:rFonts w:ascii="Arial" w:hAnsi="Arial" w:cs="Arial"/>
        </w:rPr>
        <w:t>the</w:t>
      </w:r>
      <w:r w:rsidR="00A44B2F">
        <w:rPr>
          <w:rFonts w:ascii="Arial" w:hAnsi="Arial" w:cs="Arial"/>
        </w:rPr>
        <w:t xml:space="preserve"> </w:t>
      </w:r>
      <w:r w:rsidR="00F00552">
        <w:rPr>
          <w:rFonts w:ascii="Arial" w:hAnsi="Arial" w:cs="Arial"/>
        </w:rPr>
        <w:t>disastrous</w:t>
      </w:r>
      <w:r w:rsidR="00631E54">
        <w:rPr>
          <w:rFonts w:ascii="Arial" w:hAnsi="Arial" w:cs="Arial"/>
        </w:rPr>
        <w:t>,</w:t>
      </w:r>
      <w:r w:rsidR="00F00552">
        <w:rPr>
          <w:rFonts w:ascii="Arial" w:hAnsi="Arial" w:cs="Arial"/>
        </w:rPr>
        <w:t xml:space="preserve"> </w:t>
      </w:r>
      <w:r w:rsidR="00A44B2F">
        <w:rPr>
          <w:rFonts w:ascii="Arial" w:hAnsi="Arial" w:cs="Arial"/>
        </w:rPr>
        <w:t>high</w:t>
      </w:r>
      <w:r w:rsidR="00F00552">
        <w:rPr>
          <w:rFonts w:ascii="Arial" w:hAnsi="Arial" w:cs="Arial"/>
        </w:rPr>
        <w:t>-</w:t>
      </w:r>
      <w:r w:rsidR="00A44B2F">
        <w:rPr>
          <w:rFonts w:ascii="Arial" w:hAnsi="Arial" w:cs="Arial"/>
        </w:rPr>
        <w:t>risk investment strategies</w:t>
      </w:r>
      <w:r w:rsidR="00631E54">
        <w:rPr>
          <w:rFonts w:ascii="Arial" w:hAnsi="Arial" w:cs="Arial"/>
        </w:rPr>
        <w:t xml:space="preserve"> of </w:t>
      </w:r>
      <w:r w:rsidR="00A7333D">
        <w:rPr>
          <w:rFonts w:ascii="Arial" w:hAnsi="Arial" w:cs="Arial"/>
        </w:rPr>
        <w:t>Chadwick, who used Fidelity’s platform to inappropriately invest his clients’ life savings</w:t>
      </w:r>
      <w:r w:rsidR="00A44B2F">
        <w:rPr>
          <w:rFonts w:ascii="Arial" w:hAnsi="Arial" w:cs="Arial"/>
        </w:rPr>
        <w:t xml:space="preserve">. </w:t>
      </w:r>
      <w:r w:rsidR="00631E54">
        <w:rPr>
          <w:rFonts w:ascii="Arial" w:hAnsi="Arial" w:cs="Arial"/>
        </w:rPr>
        <w:t>Approximately</w:t>
      </w:r>
      <w:r w:rsidR="00A44B2F">
        <w:rPr>
          <w:rFonts w:ascii="Arial" w:hAnsi="Arial" w:cs="Arial"/>
        </w:rPr>
        <w:t xml:space="preserve"> 100 victims across New Hampshire and Vermont lost a total of </w:t>
      </w:r>
      <w:hyperlink r:id="rId7" w:history="1">
        <w:r w:rsidR="00121E7A" w:rsidRPr="00A44B2F">
          <w:rPr>
            <w:rStyle w:val="Hyperlink"/>
            <w:rFonts w:ascii="Arial" w:hAnsi="Arial" w:cs="Arial"/>
          </w:rPr>
          <w:t>$11</w:t>
        </w:r>
        <w:r w:rsidR="00A44B2F" w:rsidRPr="00A44B2F">
          <w:rPr>
            <w:rStyle w:val="Hyperlink"/>
            <w:rFonts w:ascii="Arial" w:hAnsi="Arial" w:cs="Arial"/>
          </w:rPr>
          <w:t>.1</w:t>
        </w:r>
        <w:r w:rsidR="00121E7A" w:rsidRPr="00A44B2F">
          <w:rPr>
            <w:rStyle w:val="Hyperlink"/>
            <w:rFonts w:ascii="Arial" w:hAnsi="Arial" w:cs="Arial"/>
          </w:rPr>
          <w:t xml:space="preserve"> millio</w:t>
        </w:r>
        <w:r w:rsidR="00A44B2F" w:rsidRPr="00A44B2F">
          <w:rPr>
            <w:rStyle w:val="Hyperlink"/>
            <w:rFonts w:ascii="Arial" w:hAnsi="Arial" w:cs="Arial"/>
          </w:rPr>
          <w:t>n</w:t>
        </w:r>
      </w:hyperlink>
      <w:r w:rsidR="00954021">
        <w:rPr>
          <w:rFonts w:ascii="Arial" w:hAnsi="Arial" w:cs="Arial"/>
        </w:rPr>
        <w:t xml:space="preserve">.  </w:t>
      </w:r>
      <w:r w:rsidR="00D545C3">
        <w:t xml:space="preserve"> </w:t>
      </w:r>
    </w:p>
    <w:p w14:paraId="5944024F" w14:textId="77777777" w:rsidR="00D545C3" w:rsidRDefault="00D545C3" w:rsidP="000E200B"/>
    <w:p w14:paraId="055A7CD7" w14:textId="6665EEB4" w:rsidR="002B0F02" w:rsidRDefault="00121E7A" w:rsidP="000E200B">
      <w:pPr>
        <w:rPr>
          <w:rFonts w:ascii="Arial" w:hAnsi="Arial" w:cs="Arial"/>
        </w:rPr>
      </w:pPr>
      <w:r>
        <w:rPr>
          <w:rFonts w:ascii="Arial" w:hAnsi="Arial" w:cs="Arial"/>
        </w:rPr>
        <w:t xml:space="preserve">The </w:t>
      </w:r>
      <w:hyperlink r:id="rId8" w:history="1">
        <w:r w:rsidRPr="000D7A03">
          <w:rPr>
            <w:rStyle w:val="Hyperlink"/>
            <w:rFonts w:ascii="Arial" w:hAnsi="Arial" w:cs="Arial"/>
          </w:rPr>
          <w:t>Statement of Claim</w:t>
        </w:r>
      </w:hyperlink>
      <w:r>
        <w:rPr>
          <w:rFonts w:ascii="Arial" w:hAnsi="Arial" w:cs="Arial"/>
        </w:rPr>
        <w:t xml:space="preserve"> was filed with the </w:t>
      </w:r>
      <w:r w:rsidRPr="00121E7A">
        <w:rPr>
          <w:rFonts w:ascii="Arial" w:hAnsi="Arial" w:cs="Arial"/>
        </w:rPr>
        <w:t>Financial Industry Regulatory Authority (FINRA)</w:t>
      </w:r>
      <w:r>
        <w:rPr>
          <w:rFonts w:ascii="Arial" w:hAnsi="Arial" w:cs="Arial"/>
        </w:rPr>
        <w:t xml:space="preserve"> on behalf of four victims by </w:t>
      </w:r>
      <w:r w:rsidR="00262AFB">
        <w:rPr>
          <w:rFonts w:ascii="Arial" w:hAnsi="Arial" w:cs="Arial"/>
        </w:rPr>
        <w:t>Jason Kane of</w:t>
      </w:r>
      <w:r>
        <w:rPr>
          <w:rFonts w:ascii="Arial" w:hAnsi="Arial" w:cs="Arial"/>
        </w:rPr>
        <w:t xml:space="preserve"> the law firm Peiffer Wolf Carr Kane Conway &amp; Wise (Peiffer Wolf). The causes of action include breach of fiduciary duty, negligence, negligent misrepresentation, breach of contract, failure to supervise, aiding and abetting fraud, aiding and abetting</w:t>
      </w:r>
      <w:r w:rsidR="0019277E">
        <w:rPr>
          <w:rFonts w:ascii="Arial" w:hAnsi="Arial" w:cs="Arial"/>
        </w:rPr>
        <w:t xml:space="preserve"> breach of</w:t>
      </w:r>
      <w:r>
        <w:rPr>
          <w:rFonts w:ascii="Arial" w:hAnsi="Arial" w:cs="Arial"/>
        </w:rPr>
        <w:t xml:space="preserve"> fiduciary duty, and violations of federal securities laws and FINRA rules. </w:t>
      </w:r>
    </w:p>
    <w:p w14:paraId="0ADAB190" w14:textId="77777777" w:rsidR="0057232B" w:rsidRDefault="0057232B" w:rsidP="000E200B">
      <w:pPr>
        <w:rPr>
          <w:rFonts w:ascii="Arial" w:hAnsi="Arial" w:cs="Arial"/>
        </w:rPr>
      </w:pPr>
    </w:p>
    <w:p w14:paraId="143AB5B3" w14:textId="23717C34" w:rsidR="0057232B" w:rsidRDefault="0057232B" w:rsidP="000E200B">
      <w:pPr>
        <w:rPr>
          <w:rFonts w:ascii="Arial" w:hAnsi="Arial" w:cs="Arial"/>
        </w:rPr>
      </w:pPr>
      <w:r>
        <w:rPr>
          <w:rFonts w:ascii="Arial" w:hAnsi="Arial" w:cs="Arial"/>
        </w:rPr>
        <w:t xml:space="preserve">The </w:t>
      </w:r>
      <w:r w:rsidR="00515791">
        <w:rPr>
          <w:rFonts w:ascii="Arial" w:hAnsi="Arial" w:cs="Arial"/>
        </w:rPr>
        <w:t>new action</w:t>
      </w:r>
      <w:r>
        <w:rPr>
          <w:rFonts w:ascii="Arial" w:hAnsi="Arial" w:cs="Arial"/>
        </w:rPr>
        <w:t xml:space="preserve"> follows</w:t>
      </w:r>
      <w:r w:rsidR="00085152" w:rsidRPr="00085152">
        <w:rPr>
          <w:rFonts w:ascii="Arial" w:hAnsi="Arial" w:cs="Arial"/>
        </w:rPr>
        <w:t xml:space="preserve"> </w:t>
      </w:r>
      <w:r w:rsidR="00085152">
        <w:rPr>
          <w:rFonts w:ascii="Arial" w:hAnsi="Arial" w:cs="Arial"/>
        </w:rPr>
        <w:t>the New Hampshire Bureau of Securities Regulation’s</w:t>
      </w:r>
      <w:r>
        <w:rPr>
          <w:rFonts w:ascii="Arial" w:hAnsi="Arial" w:cs="Arial"/>
        </w:rPr>
        <w:t xml:space="preserve"> </w:t>
      </w:r>
      <w:hyperlink r:id="rId9" w:history="1">
        <w:r w:rsidR="00085152" w:rsidRPr="00E47959">
          <w:rPr>
            <w:rStyle w:val="Hyperlink"/>
            <w:rFonts w:ascii="Arial" w:hAnsi="Arial" w:cs="Arial"/>
          </w:rPr>
          <w:t>$6 million settlement</w:t>
        </w:r>
      </w:hyperlink>
      <w:r w:rsidR="00085152">
        <w:rPr>
          <w:rFonts w:ascii="Arial" w:hAnsi="Arial" w:cs="Arial"/>
        </w:rPr>
        <w:t xml:space="preserve"> reached against Chadwick in 2024, and pending charge</w:t>
      </w:r>
      <w:r w:rsidR="000720E7">
        <w:rPr>
          <w:rFonts w:ascii="Arial" w:hAnsi="Arial" w:cs="Arial"/>
        </w:rPr>
        <w:t>s</w:t>
      </w:r>
      <w:r w:rsidR="00085152">
        <w:rPr>
          <w:rFonts w:ascii="Arial" w:hAnsi="Arial" w:cs="Arial"/>
        </w:rPr>
        <w:t xml:space="preserve"> </w:t>
      </w:r>
      <w:r w:rsidR="00E47959">
        <w:rPr>
          <w:rFonts w:ascii="Arial" w:hAnsi="Arial" w:cs="Arial"/>
        </w:rPr>
        <w:t>in</w:t>
      </w:r>
      <w:r w:rsidR="00E47959" w:rsidRPr="00E47959">
        <w:rPr>
          <w:rFonts w:ascii="Arial" w:hAnsi="Arial" w:cs="Arial"/>
        </w:rPr>
        <w:t xml:space="preserve"> Vermont</w:t>
      </w:r>
      <w:r w:rsidR="000720E7">
        <w:rPr>
          <w:rFonts w:ascii="Arial" w:hAnsi="Arial" w:cs="Arial"/>
        </w:rPr>
        <w:t xml:space="preserve"> from 2022</w:t>
      </w:r>
      <w:r w:rsidR="00E47959">
        <w:rPr>
          <w:rFonts w:ascii="Arial" w:hAnsi="Arial" w:cs="Arial"/>
        </w:rPr>
        <w:t xml:space="preserve"> for </w:t>
      </w:r>
      <w:hyperlink r:id="rId10" w:history="1">
        <w:r w:rsidR="00E47959" w:rsidRPr="00E47959">
          <w:rPr>
            <w:rStyle w:val="Hyperlink"/>
            <w:rFonts w:ascii="Arial" w:hAnsi="Arial" w:cs="Arial"/>
          </w:rPr>
          <w:t>impersonating clients and providing investment advice despite not being registered</w:t>
        </w:r>
      </w:hyperlink>
      <w:r w:rsidR="00416F0E">
        <w:rPr>
          <w:rFonts w:ascii="Arial" w:hAnsi="Arial" w:cs="Arial"/>
        </w:rPr>
        <w:t>.</w:t>
      </w:r>
      <w:r w:rsidR="00E47959">
        <w:rPr>
          <w:rFonts w:ascii="Arial" w:hAnsi="Arial" w:cs="Arial"/>
        </w:rPr>
        <w:t xml:space="preserve"> </w:t>
      </w:r>
    </w:p>
    <w:p w14:paraId="1AF9F025" w14:textId="77777777" w:rsidR="002B0F02" w:rsidRDefault="002B0F02" w:rsidP="000E200B">
      <w:pPr>
        <w:rPr>
          <w:rFonts w:ascii="Arial" w:hAnsi="Arial" w:cs="Arial"/>
        </w:rPr>
      </w:pPr>
    </w:p>
    <w:p w14:paraId="3288CCF7" w14:textId="2FDCD0BF" w:rsidR="0058374C" w:rsidRPr="00984F86" w:rsidRDefault="0058374C" w:rsidP="0058374C">
      <w:pPr>
        <w:rPr>
          <w:rFonts w:ascii="Arial" w:hAnsi="Arial" w:cs="Arial"/>
          <w:b/>
          <w:bCs/>
        </w:rPr>
      </w:pPr>
      <w:r>
        <w:rPr>
          <w:rFonts w:ascii="Arial" w:hAnsi="Arial" w:cs="Arial"/>
        </w:rPr>
        <w:t>Jason Kane</w:t>
      </w:r>
      <w:r w:rsidRPr="00CB4826">
        <w:rPr>
          <w:rFonts w:ascii="Arial" w:hAnsi="Arial" w:cs="Arial"/>
        </w:rPr>
        <w:t xml:space="preserve">, </w:t>
      </w:r>
      <w:r>
        <w:rPr>
          <w:rFonts w:ascii="Arial" w:hAnsi="Arial" w:cs="Arial"/>
        </w:rPr>
        <w:t xml:space="preserve">partner at </w:t>
      </w:r>
      <w:r w:rsidRPr="00D66869">
        <w:rPr>
          <w:rFonts w:ascii="Arial" w:hAnsi="Arial" w:cs="Arial"/>
        </w:rPr>
        <w:t>Peiffer Wol</w:t>
      </w:r>
      <w:r>
        <w:rPr>
          <w:rFonts w:ascii="Arial" w:hAnsi="Arial" w:cs="Arial"/>
        </w:rPr>
        <w:t xml:space="preserve">f, said: </w:t>
      </w:r>
      <w:r w:rsidRPr="00456103">
        <w:rPr>
          <w:rFonts w:ascii="Arial" w:hAnsi="Arial" w:cs="Arial"/>
          <w:b/>
          <w:bCs/>
        </w:rPr>
        <w:t>“</w:t>
      </w:r>
      <w:r w:rsidR="00416F0E">
        <w:rPr>
          <w:rFonts w:ascii="Arial" w:hAnsi="Arial" w:cs="Arial"/>
          <w:b/>
          <w:bCs/>
        </w:rPr>
        <w:t xml:space="preserve">Using Fidelity’s platform, </w:t>
      </w:r>
      <w:r w:rsidR="008501DD">
        <w:rPr>
          <w:rFonts w:ascii="Arial" w:hAnsi="Arial" w:cs="Arial"/>
          <w:b/>
          <w:bCs/>
        </w:rPr>
        <w:t>Thomas Chadwick lost his clients</w:t>
      </w:r>
      <w:r w:rsidR="00A7333D">
        <w:rPr>
          <w:rFonts w:ascii="Arial" w:hAnsi="Arial" w:cs="Arial"/>
          <w:b/>
          <w:bCs/>
        </w:rPr>
        <w:t xml:space="preserve"> life savings</w:t>
      </w:r>
      <w:r w:rsidR="008501DD">
        <w:rPr>
          <w:rFonts w:ascii="Arial" w:hAnsi="Arial" w:cs="Arial"/>
          <w:b/>
          <w:bCs/>
        </w:rPr>
        <w:t xml:space="preserve"> through </w:t>
      </w:r>
      <w:r w:rsidR="008E2F36">
        <w:rPr>
          <w:rFonts w:ascii="Arial" w:hAnsi="Arial" w:cs="Arial"/>
          <w:b/>
          <w:bCs/>
        </w:rPr>
        <w:t>extremely</w:t>
      </w:r>
      <w:r w:rsidR="008501DD">
        <w:rPr>
          <w:rFonts w:ascii="Arial" w:hAnsi="Arial" w:cs="Arial"/>
          <w:b/>
          <w:bCs/>
        </w:rPr>
        <w:t xml:space="preserve"> risky investments and committed</w:t>
      </w:r>
      <w:r w:rsidR="00416F0E">
        <w:rPr>
          <w:rFonts w:ascii="Arial" w:hAnsi="Arial" w:cs="Arial"/>
          <w:b/>
          <w:bCs/>
        </w:rPr>
        <w:t xml:space="preserve"> fraud</w:t>
      </w:r>
      <w:r w:rsidR="00A7333D">
        <w:rPr>
          <w:rFonts w:ascii="Arial" w:hAnsi="Arial" w:cs="Arial"/>
          <w:b/>
          <w:bCs/>
        </w:rPr>
        <w:t>.</w:t>
      </w:r>
      <w:r w:rsidR="008501DD">
        <w:rPr>
          <w:rFonts w:ascii="Arial" w:hAnsi="Arial" w:cs="Arial"/>
          <w:b/>
          <w:bCs/>
        </w:rPr>
        <w:t xml:space="preserve"> </w:t>
      </w:r>
      <w:r w:rsidR="00A7333D">
        <w:rPr>
          <w:rFonts w:ascii="Arial" w:hAnsi="Arial" w:cs="Arial"/>
          <w:b/>
          <w:bCs/>
        </w:rPr>
        <w:t>Despite obvious</w:t>
      </w:r>
      <w:r w:rsidR="008501DD">
        <w:rPr>
          <w:rFonts w:ascii="Arial" w:hAnsi="Arial" w:cs="Arial"/>
          <w:b/>
          <w:bCs/>
        </w:rPr>
        <w:t xml:space="preserve"> red flag</w:t>
      </w:r>
      <w:r w:rsidR="0019277E">
        <w:rPr>
          <w:rFonts w:ascii="Arial" w:hAnsi="Arial" w:cs="Arial"/>
          <w:b/>
          <w:bCs/>
        </w:rPr>
        <w:t>s</w:t>
      </w:r>
      <w:r w:rsidR="00A7333D">
        <w:rPr>
          <w:rFonts w:ascii="Arial" w:hAnsi="Arial" w:cs="Arial"/>
          <w:b/>
          <w:bCs/>
        </w:rPr>
        <w:t>, they went unnoticed by Fidelity as it failed to protect its customers</w:t>
      </w:r>
      <w:r w:rsidR="008501DD">
        <w:rPr>
          <w:rFonts w:ascii="Arial" w:hAnsi="Arial" w:cs="Arial"/>
          <w:b/>
          <w:bCs/>
        </w:rPr>
        <w:t xml:space="preserve">. </w:t>
      </w:r>
      <w:r w:rsidR="00A7333D">
        <w:rPr>
          <w:rFonts w:ascii="Arial" w:hAnsi="Arial" w:cs="Arial"/>
          <w:b/>
          <w:bCs/>
        </w:rPr>
        <w:t>Chadwick’s</w:t>
      </w:r>
      <w:r w:rsidR="00A82D73">
        <w:rPr>
          <w:rFonts w:ascii="Arial" w:hAnsi="Arial" w:cs="Arial"/>
          <w:b/>
          <w:bCs/>
        </w:rPr>
        <w:t xml:space="preserve"> path of destruction includes dozens of victims across two states and totals over $11 million.</w:t>
      </w:r>
      <w:r w:rsidR="00A82D73" w:rsidRPr="00A82D73">
        <w:t xml:space="preserve"> </w:t>
      </w:r>
      <w:r w:rsidR="00A82D73" w:rsidRPr="00A82D73">
        <w:rPr>
          <w:rFonts w:ascii="Arial" w:hAnsi="Arial" w:cs="Arial"/>
          <w:b/>
          <w:bCs/>
        </w:rPr>
        <w:t>If Fidelity had appropriate supervisory systems</w:t>
      </w:r>
      <w:r w:rsidR="00A82D73">
        <w:rPr>
          <w:rFonts w:ascii="Arial" w:hAnsi="Arial" w:cs="Arial"/>
          <w:b/>
          <w:bCs/>
        </w:rPr>
        <w:t xml:space="preserve"> in place, this never would have happened.</w:t>
      </w:r>
      <w:r>
        <w:rPr>
          <w:rFonts w:ascii="Arial" w:hAnsi="Arial" w:cs="Arial"/>
          <w:b/>
          <w:bCs/>
        </w:rPr>
        <w:t>”</w:t>
      </w:r>
    </w:p>
    <w:p w14:paraId="4137DD0D" w14:textId="77777777" w:rsidR="0058374C" w:rsidRDefault="0058374C" w:rsidP="00E13A89">
      <w:pPr>
        <w:rPr>
          <w:rFonts w:ascii="Arial" w:hAnsi="Arial" w:cs="Arial"/>
        </w:rPr>
      </w:pPr>
    </w:p>
    <w:p w14:paraId="4F828641" w14:textId="1DA4BF9D" w:rsidR="00CC027C" w:rsidRDefault="00CC027C" w:rsidP="00CC027C">
      <w:pPr>
        <w:rPr>
          <w:rFonts w:ascii="Arial" w:hAnsi="Arial" w:cs="Arial"/>
          <w:b/>
          <w:bCs/>
        </w:rPr>
      </w:pPr>
      <w:bookmarkStart w:id="1" w:name="_Hlk154563413"/>
      <w:r>
        <w:rPr>
          <w:rFonts w:ascii="Arial" w:hAnsi="Arial" w:cs="Arial"/>
        </w:rPr>
        <w:t>Richard</w:t>
      </w:r>
      <w:r w:rsidRPr="006D4C74">
        <w:rPr>
          <w:rFonts w:ascii="Arial" w:hAnsi="Arial" w:cs="Arial"/>
        </w:rPr>
        <w:t xml:space="preserve"> Bates</w:t>
      </w:r>
      <w:r>
        <w:rPr>
          <w:rFonts w:ascii="Arial" w:hAnsi="Arial" w:cs="Arial"/>
        </w:rPr>
        <w:t xml:space="preserve"> from </w:t>
      </w:r>
      <w:r w:rsidRPr="004B7216">
        <w:rPr>
          <w:rFonts w:ascii="Arial" w:hAnsi="Arial" w:cs="Arial"/>
        </w:rPr>
        <w:t>Enfield</w:t>
      </w:r>
      <w:r>
        <w:rPr>
          <w:rFonts w:ascii="Arial" w:hAnsi="Arial" w:cs="Arial"/>
        </w:rPr>
        <w:t>,</w:t>
      </w:r>
      <w:r w:rsidRPr="004B7216">
        <w:rPr>
          <w:rFonts w:ascii="Arial" w:hAnsi="Arial" w:cs="Arial"/>
        </w:rPr>
        <w:t xml:space="preserve"> New Hampshire</w:t>
      </w:r>
      <w:r>
        <w:rPr>
          <w:rFonts w:ascii="Arial" w:hAnsi="Arial" w:cs="Arial"/>
        </w:rPr>
        <w:t xml:space="preserve">, who suffered </w:t>
      </w:r>
      <w:r w:rsidRPr="00CC027C">
        <w:rPr>
          <w:rFonts w:ascii="Arial" w:hAnsi="Arial" w:cs="Arial"/>
        </w:rPr>
        <w:t xml:space="preserve">hundreds of thousands of dollars in </w:t>
      </w:r>
      <w:r>
        <w:rPr>
          <w:rFonts w:ascii="Arial" w:hAnsi="Arial" w:cs="Arial"/>
        </w:rPr>
        <w:t xml:space="preserve">losses, said: </w:t>
      </w:r>
      <w:r w:rsidRPr="006D4C74">
        <w:rPr>
          <w:rFonts w:ascii="Arial" w:hAnsi="Arial" w:cs="Arial"/>
          <w:b/>
          <w:bCs/>
        </w:rPr>
        <w:t xml:space="preserve">“I considered </w:t>
      </w:r>
      <w:r w:rsidR="00A7333D">
        <w:rPr>
          <w:rFonts w:ascii="Arial" w:hAnsi="Arial" w:cs="Arial"/>
          <w:b/>
          <w:bCs/>
        </w:rPr>
        <w:t>Tom Chadwick</w:t>
      </w:r>
      <w:r w:rsidRPr="006D4C74">
        <w:rPr>
          <w:rFonts w:ascii="Arial" w:hAnsi="Arial" w:cs="Arial"/>
          <w:b/>
          <w:bCs/>
        </w:rPr>
        <w:t xml:space="preserve"> a friend as well as an advisor. When we retired, it felt comfortable and natural to trust Chadwick, who invested through industry icon Fidelity, to manage our retirement portfolio. Instead, Chadwick’s negligent and improper mismanagement and Fidelity’s lack of oversight cost us the bulk of our savings, forcing us both back to work </w:t>
      </w:r>
      <w:proofErr w:type="gramStart"/>
      <w:r w:rsidRPr="006D4C74">
        <w:rPr>
          <w:rFonts w:ascii="Arial" w:hAnsi="Arial" w:cs="Arial"/>
          <w:b/>
          <w:bCs/>
        </w:rPr>
        <w:t>in order to</w:t>
      </w:r>
      <w:proofErr w:type="gramEnd"/>
      <w:r w:rsidRPr="006D4C74">
        <w:rPr>
          <w:rFonts w:ascii="Arial" w:hAnsi="Arial" w:cs="Arial"/>
          <w:b/>
          <w:bCs/>
        </w:rPr>
        <w:t xml:space="preserve"> pay our bills and shattering our retirement dreams. The emotional distress has been devastating.”</w:t>
      </w:r>
    </w:p>
    <w:p w14:paraId="104BCEA5" w14:textId="77777777" w:rsidR="00CC027C" w:rsidRDefault="00CC027C" w:rsidP="00CC027C">
      <w:pPr>
        <w:rPr>
          <w:rFonts w:ascii="Arial" w:hAnsi="Arial" w:cs="Arial"/>
        </w:rPr>
      </w:pPr>
    </w:p>
    <w:p w14:paraId="159300C5" w14:textId="665DF368" w:rsidR="00D0147E" w:rsidRDefault="00D0147E" w:rsidP="00D0147E">
      <w:pPr>
        <w:rPr>
          <w:rFonts w:ascii="Arial" w:hAnsi="Arial" w:cs="Arial"/>
          <w:b/>
          <w:bCs/>
        </w:rPr>
      </w:pPr>
      <w:r w:rsidRPr="006D4C74">
        <w:rPr>
          <w:rFonts w:ascii="Arial" w:hAnsi="Arial" w:cs="Arial"/>
        </w:rPr>
        <w:t>Judy Barker</w:t>
      </w:r>
      <w:r>
        <w:rPr>
          <w:rFonts w:ascii="Arial" w:hAnsi="Arial" w:cs="Arial"/>
        </w:rPr>
        <w:t xml:space="preserve"> from </w:t>
      </w:r>
      <w:r w:rsidR="004B7216" w:rsidRPr="004B7216">
        <w:rPr>
          <w:rFonts w:ascii="Arial" w:hAnsi="Arial" w:cs="Arial"/>
        </w:rPr>
        <w:t xml:space="preserve">West Lebanon, </w:t>
      </w:r>
      <w:r>
        <w:rPr>
          <w:rFonts w:ascii="Arial" w:hAnsi="Arial" w:cs="Arial"/>
        </w:rPr>
        <w:t>New Hampshire</w:t>
      </w:r>
      <w:r w:rsidR="00CC027C">
        <w:rPr>
          <w:rFonts w:ascii="Arial" w:hAnsi="Arial" w:cs="Arial"/>
        </w:rPr>
        <w:t>,</w:t>
      </w:r>
      <w:r w:rsidR="00CC027C" w:rsidRPr="00CC027C">
        <w:rPr>
          <w:rFonts w:ascii="Arial" w:hAnsi="Arial" w:cs="Arial"/>
        </w:rPr>
        <w:t xml:space="preserve"> </w:t>
      </w:r>
      <w:r w:rsidRPr="006D4C74">
        <w:rPr>
          <w:rFonts w:ascii="Arial" w:hAnsi="Arial" w:cs="Arial"/>
        </w:rPr>
        <w:t>said</w:t>
      </w:r>
      <w:r w:rsidR="001B12BA">
        <w:rPr>
          <w:rFonts w:ascii="Arial" w:hAnsi="Arial" w:cs="Arial"/>
        </w:rPr>
        <w:t>:</w:t>
      </w:r>
      <w:r w:rsidRPr="006D4C74">
        <w:rPr>
          <w:rFonts w:ascii="Arial" w:hAnsi="Arial" w:cs="Arial"/>
        </w:rPr>
        <w:t xml:space="preserve"> </w:t>
      </w:r>
      <w:r w:rsidRPr="006D4C74">
        <w:rPr>
          <w:rFonts w:ascii="Arial" w:hAnsi="Arial" w:cs="Arial"/>
          <w:b/>
          <w:bCs/>
        </w:rPr>
        <w:t>“Our investments had been made through Fidelity for many years. We had no reason not to trust this company. Had there been more oversight of these funds on Fidelity's part perhaps we would still be living in the forever home that we built for our retirement years.”</w:t>
      </w:r>
    </w:p>
    <w:p w14:paraId="396ADCF3" w14:textId="77777777" w:rsidR="00D0147E" w:rsidRPr="006D4C74" w:rsidRDefault="00D0147E" w:rsidP="00D0147E">
      <w:pPr>
        <w:rPr>
          <w:rFonts w:ascii="Arial" w:hAnsi="Arial" w:cs="Arial"/>
          <w:b/>
          <w:bCs/>
        </w:rPr>
      </w:pPr>
    </w:p>
    <w:bookmarkEnd w:id="1"/>
    <w:p w14:paraId="74DCF7C8" w14:textId="1EB9D173" w:rsidR="00D76B01" w:rsidRPr="00D76B01" w:rsidRDefault="00D76B01" w:rsidP="004B7216">
      <w:pPr>
        <w:rPr>
          <w:rFonts w:ascii="Arial" w:hAnsi="Arial" w:cs="Arial"/>
          <w:b/>
          <w:bCs/>
        </w:rPr>
      </w:pPr>
      <w:r w:rsidRPr="00D76B01">
        <w:rPr>
          <w:rFonts w:ascii="Arial" w:hAnsi="Arial" w:cs="Arial"/>
          <w:b/>
          <w:bCs/>
        </w:rPr>
        <w:t>REML</w:t>
      </w:r>
    </w:p>
    <w:p w14:paraId="24A4602E" w14:textId="4C6188AE" w:rsidR="00D76B01" w:rsidRDefault="008D787B" w:rsidP="00D76B01">
      <w:pPr>
        <w:rPr>
          <w:rFonts w:ascii="Arial" w:hAnsi="Arial" w:cs="Arial"/>
        </w:rPr>
      </w:pPr>
      <w:r>
        <w:rPr>
          <w:rFonts w:ascii="Arial" w:hAnsi="Arial" w:cs="Arial"/>
        </w:rPr>
        <w:t>In</w:t>
      </w:r>
      <w:r w:rsidR="004B7216" w:rsidRPr="004B7216">
        <w:rPr>
          <w:rFonts w:ascii="Arial" w:hAnsi="Arial" w:cs="Arial"/>
        </w:rPr>
        <w:t xml:space="preserve"> 2001, Thomas Chadwick opened </w:t>
      </w:r>
      <w:r w:rsidR="00631E54" w:rsidRPr="004B7216">
        <w:rPr>
          <w:rFonts w:ascii="Arial" w:hAnsi="Arial" w:cs="Arial"/>
        </w:rPr>
        <w:t>Chadwick &amp; D’Amato</w:t>
      </w:r>
      <w:r w:rsidR="00631E54">
        <w:rPr>
          <w:rFonts w:ascii="Arial" w:hAnsi="Arial" w:cs="Arial"/>
        </w:rPr>
        <w:t>,</w:t>
      </w:r>
      <w:r w:rsidR="00631E54" w:rsidRPr="004B7216">
        <w:rPr>
          <w:rFonts w:ascii="Arial" w:hAnsi="Arial" w:cs="Arial"/>
        </w:rPr>
        <w:t xml:space="preserve"> </w:t>
      </w:r>
      <w:r w:rsidR="004B7216" w:rsidRPr="004B7216">
        <w:rPr>
          <w:rFonts w:ascii="Arial" w:hAnsi="Arial" w:cs="Arial"/>
        </w:rPr>
        <w:t>his investment advisory firm</w:t>
      </w:r>
      <w:r w:rsidR="00631E54">
        <w:rPr>
          <w:rFonts w:ascii="Arial" w:hAnsi="Arial" w:cs="Arial"/>
        </w:rPr>
        <w:t xml:space="preserve"> registered with Fidelity</w:t>
      </w:r>
      <w:r w:rsidR="004B7216" w:rsidRPr="004B7216">
        <w:rPr>
          <w:rFonts w:ascii="Arial" w:hAnsi="Arial" w:cs="Arial"/>
        </w:rPr>
        <w:t xml:space="preserve">. The firm was based </w:t>
      </w:r>
      <w:r w:rsidR="00472877">
        <w:rPr>
          <w:rFonts w:ascii="Arial" w:hAnsi="Arial" w:cs="Arial"/>
        </w:rPr>
        <w:t>in</w:t>
      </w:r>
      <w:r w:rsidR="004B7216" w:rsidRPr="004B7216">
        <w:rPr>
          <w:rFonts w:ascii="Arial" w:hAnsi="Arial" w:cs="Arial"/>
        </w:rPr>
        <w:t xml:space="preserve"> New London, New Hampshire</w:t>
      </w:r>
      <w:r>
        <w:rPr>
          <w:rFonts w:ascii="Arial" w:hAnsi="Arial" w:cs="Arial"/>
        </w:rPr>
        <w:t xml:space="preserve">, </w:t>
      </w:r>
      <w:r w:rsidR="002E7A85">
        <w:rPr>
          <w:rFonts w:ascii="Arial" w:hAnsi="Arial" w:cs="Arial"/>
        </w:rPr>
        <w:t>serving</w:t>
      </w:r>
      <w:r w:rsidR="00416F0E">
        <w:rPr>
          <w:rFonts w:ascii="Arial" w:hAnsi="Arial" w:cs="Arial"/>
        </w:rPr>
        <w:t xml:space="preserve"> many</w:t>
      </w:r>
      <w:r w:rsidR="001B12BA">
        <w:rPr>
          <w:rFonts w:ascii="Arial" w:hAnsi="Arial" w:cs="Arial"/>
        </w:rPr>
        <w:t xml:space="preserve"> </w:t>
      </w:r>
      <w:r>
        <w:rPr>
          <w:rFonts w:ascii="Arial" w:hAnsi="Arial" w:cs="Arial"/>
        </w:rPr>
        <w:t>elderly</w:t>
      </w:r>
      <w:r w:rsidR="004B7216" w:rsidRPr="004B7216">
        <w:rPr>
          <w:rFonts w:ascii="Arial" w:hAnsi="Arial" w:cs="Arial"/>
        </w:rPr>
        <w:t xml:space="preserve"> </w:t>
      </w:r>
      <w:r w:rsidR="001B12BA">
        <w:rPr>
          <w:rFonts w:ascii="Arial" w:hAnsi="Arial" w:cs="Arial"/>
        </w:rPr>
        <w:t>and</w:t>
      </w:r>
      <w:r w:rsidR="004B7216" w:rsidRPr="004B7216">
        <w:rPr>
          <w:rFonts w:ascii="Arial" w:hAnsi="Arial" w:cs="Arial"/>
        </w:rPr>
        <w:t xml:space="preserve"> retire</w:t>
      </w:r>
      <w:r>
        <w:rPr>
          <w:rFonts w:ascii="Arial" w:hAnsi="Arial" w:cs="Arial"/>
        </w:rPr>
        <w:t>d</w:t>
      </w:r>
      <w:r w:rsidR="004B7216" w:rsidRPr="004B7216">
        <w:rPr>
          <w:rFonts w:ascii="Arial" w:hAnsi="Arial" w:cs="Arial"/>
        </w:rPr>
        <w:t xml:space="preserve"> </w:t>
      </w:r>
      <w:r>
        <w:rPr>
          <w:rFonts w:ascii="Arial" w:hAnsi="Arial" w:cs="Arial"/>
        </w:rPr>
        <w:t>clients in</w:t>
      </w:r>
      <w:r w:rsidR="004B7216" w:rsidRPr="004B7216">
        <w:rPr>
          <w:rFonts w:ascii="Arial" w:hAnsi="Arial" w:cs="Arial"/>
        </w:rPr>
        <w:t xml:space="preserve"> New Hampshire and Vermont</w:t>
      </w:r>
      <w:r w:rsidR="00F90751" w:rsidRPr="00F90751">
        <w:rPr>
          <w:rFonts w:ascii="Arial" w:hAnsi="Arial" w:cs="Arial"/>
        </w:rPr>
        <w:t xml:space="preserve"> with a low to moderate tolerance for risk and principal losses</w:t>
      </w:r>
      <w:r w:rsidR="004B7216" w:rsidRPr="004B7216">
        <w:rPr>
          <w:rFonts w:ascii="Arial" w:hAnsi="Arial" w:cs="Arial"/>
        </w:rPr>
        <w:t xml:space="preserve">. </w:t>
      </w:r>
      <w:r w:rsidR="00D76B01" w:rsidRPr="004B7216">
        <w:rPr>
          <w:rFonts w:ascii="Arial" w:hAnsi="Arial" w:cs="Arial"/>
        </w:rPr>
        <w:t xml:space="preserve">Chadwick &amp; D’Amato </w:t>
      </w:r>
      <w:r w:rsidR="001B12BA">
        <w:rPr>
          <w:rFonts w:ascii="Arial" w:hAnsi="Arial" w:cs="Arial"/>
        </w:rPr>
        <w:t>customers</w:t>
      </w:r>
      <w:r w:rsidR="00D76B01" w:rsidRPr="004B7216">
        <w:rPr>
          <w:rFonts w:ascii="Arial" w:hAnsi="Arial" w:cs="Arial"/>
        </w:rPr>
        <w:t xml:space="preserve"> were all required to open Fidelity brokerage accounts </w:t>
      </w:r>
      <w:proofErr w:type="gramStart"/>
      <w:r w:rsidR="00D76B01" w:rsidRPr="004B7216">
        <w:rPr>
          <w:rFonts w:ascii="Arial" w:hAnsi="Arial" w:cs="Arial"/>
        </w:rPr>
        <w:t>in order to</w:t>
      </w:r>
      <w:proofErr w:type="gramEnd"/>
      <w:r w:rsidR="00D76B01" w:rsidRPr="004B7216">
        <w:rPr>
          <w:rFonts w:ascii="Arial" w:hAnsi="Arial" w:cs="Arial"/>
        </w:rPr>
        <w:t xml:space="preserve"> give Chadwick access to their portfolios. According </w:t>
      </w:r>
      <w:r w:rsidR="00D76B01">
        <w:rPr>
          <w:rFonts w:ascii="Arial" w:hAnsi="Arial" w:cs="Arial"/>
        </w:rPr>
        <w:t xml:space="preserve">to SEC forms, </w:t>
      </w:r>
      <w:r w:rsidR="00D76B01" w:rsidRPr="004B7216">
        <w:rPr>
          <w:rFonts w:ascii="Arial" w:hAnsi="Arial" w:cs="Arial"/>
        </w:rPr>
        <w:t xml:space="preserve">Chadwick managed investments for nearly 100 individuals, and the firm’s assets under management exceeded $60,000,000.  </w:t>
      </w:r>
    </w:p>
    <w:p w14:paraId="1B2FE9E9" w14:textId="77777777" w:rsidR="00D76B01" w:rsidRPr="004B7216" w:rsidRDefault="00D76B01" w:rsidP="00D76B01">
      <w:pPr>
        <w:rPr>
          <w:rFonts w:ascii="Arial" w:hAnsi="Arial" w:cs="Arial"/>
        </w:rPr>
      </w:pPr>
    </w:p>
    <w:p w14:paraId="2545A662" w14:textId="0B164202" w:rsidR="004B7216" w:rsidRDefault="004B7216" w:rsidP="004B7216">
      <w:pPr>
        <w:rPr>
          <w:rFonts w:ascii="Arial" w:hAnsi="Arial" w:cs="Arial"/>
        </w:rPr>
      </w:pPr>
      <w:r w:rsidRPr="004B7216">
        <w:rPr>
          <w:rFonts w:ascii="Arial" w:hAnsi="Arial" w:cs="Arial"/>
        </w:rPr>
        <w:lastRenderedPageBreak/>
        <w:t xml:space="preserve">Prior to 2019, Chadwick invested most of his clients’ </w:t>
      </w:r>
      <w:r w:rsidR="0039357A">
        <w:rPr>
          <w:rFonts w:ascii="Arial" w:hAnsi="Arial" w:cs="Arial"/>
        </w:rPr>
        <w:t>money</w:t>
      </w:r>
      <w:r w:rsidRPr="004B7216">
        <w:rPr>
          <w:rFonts w:ascii="Arial" w:hAnsi="Arial" w:cs="Arial"/>
        </w:rPr>
        <w:t xml:space="preserve"> in an SEC-registered mutual fund called “The Chadwick &amp; D’Amato Fund” (C&amp;D Fund</w:t>
      </w:r>
      <w:r w:rsidR="002E7A85">
        <w:rPr>
          <w:rFonts w:ascii="Arial" w:hAnsi="Arial" w:cs="Arial"/>
        </w:rPr>
        <w:t>)</w:t>
      </w:r>
      <w:r w:rsidRPr="004B7216">
        <w:rPr>
          <w:rFonts w:ascii="Arial" w:hAnsi="Arial" w:cs="Arial"/>
        </w:rPr>
        <w:t xml:space="preserve">. Chadwick engaged in a discretionary options trading strategy, essentially gambling with his </w:t>
      </w:r>
      <w:r w:rsidR="00F2394C">
        <w:rPr>
          <w:rFonts w:ascii="Arial" w:hAnsi="Arial" w:cs="Arial"/>
        </w:rPr>
        <w:t>clients’</w:t>
      </w:r>
      <w:r w:rsidRPr="004B7216">
        <w:rPr>
          <w:rFonts w:ascii="Arial" w:hAnsi="Arial" w:cs="Arial"/>
        </w:rPr>
        <w:t xml:space="preserve"> money. Chadwick also recommended and managed cryptocurrency investments for his customers, including Bitcoin and Ethereum. In 2019, Chadwick &amp; D’Amato announced that it was closing the C&amp;D Fund. Chadwick transferred most of his clients’ assets into money market accounts and began looking for new investment opportunities</w:t>
      </w:r>
      <w:r w:rsidR="00F2394C">
        <w:rPr>
          <w:rFonts w:ascii="Arial" w:hAnsi="Arial" w:cs="Arial"/>
        </w:rPr>
        <w:t>.</w:t>
      </w:r>
    </w:p>
    <w:p w14:paraId="07E24392" w14:textId="77777777" w:rsidR="004B7216" w:rsidRPr="004B7216" w:rsidRDefault="004B7216" w:rsidP="004B7216">
      <w:pPr>
        <w:rPr>
          <w:rFonts w:ascii="Arial" w:hAnsi="Arial" w:cs="Arial"/>
        </w:rPr>
      </w:pPr>
    </w:p>
    <w:p w14:paraId="6464753A" w14:textId="25AFBD71" w:rsidR="00F2394C" w:rsidRDefault="00F2394C" w:rsidP="004B7216">
      <w:pPr>
        <w:rPr>
          <w:rFonts w:ascii="Arial" w:hAnsi="Arial" w:cs="Arial"/>
        </w:rPr>
      </w:pPr>
      <w:r>
        <w:rPr>
          <w:rFonts w:ascii="Arial" w:hAnsi="Arial" w:cs="Arial"/>
        </w:rPr>
        <w:t>From</w:t>
      </w:r>
      <w:r w:rsidR="004B7216" w:rsidRPr="004B7216">
        <w:rPr>
          <w:rFonts w:ascii="Arial" w:hAnsi="Arial" w:cs="Arial"/>
        </w:rPr>
        <w:t xml:space="preserve"> mid-2019 to early 2020, Chadwick invested a substantial portion of his clients’ assets into a</w:t>
      </w:r>
      <w:r>
        <w:rPr>
          <w:rFonts w:ascii="Arial" w:hAnsi="Arial" w:cs="Arial"/>
        </w:rPr>
        <w:t>n</w:t>
      </w:r>
      <w:r w:rsidR="004B7216" w:rsidRPr="004B7216">
        <w:rPr>
          <w:rFonts w:ascii="Arial" w:hAnsi="Arial" w:cs="Arial"/>
        </w:rPr>
        <w:t xml:space="preserve"> </w:t>
      </w:r>
      <w:r w:rsidRPr="00F2394C">
        <w:rPr>
          <w:rFonts w:ascii="Arial" w:hAnsi="Arial" w:cs="Arial"/>
        </w:rPr>
        <w:t>extremely risky</w:t>
      </w:r>
      <w:r>
        <w:rPr>
          <w:rFonts w:ascii="Arial" w:hAnsi="Arial" w:cs="Arial"/>
        </w:rPr>
        <w:t>, complex</w:t>
      </w:r>
      <w:r w:rsidRPr="00F2394C">
        <w:rPr>
          <w:rFonts w:ascii="Arial" w:hAnsi="Arial" w:cs="Arial"/>
        </w:rPr>
        <w:t xml:space="preserve"> </w:t>
      </w:r>
      <w:r w:rsidR="004B7216" w:rsidRPr="004B7216">
        <w:rPr>
          <w:rFonts w:ascii="Arial" w:hAnsi="Arial" w:cs="Arial"/>
        </w:rPr>
        <w:t xml:space="preserve">securities product known as “Credit Suisse </w:t>
      </w:r>
      <w:proofErr w:type="spellStart"/>
      <w:r w:rsidR="004B7216" w:rsidRPr="004B7216">
        <w:rPr>
          <w:rFonts w:ascii="Arial" w:hAnsi="Arial" w:cs="Arial"/>
        </w:rPr>
        <w:t>XLinks</w:t>
      </w:r>
      <w:proofErr w:type="spellEnd"/>
      <w:r w:rsidR="004B7216" w:rsidRPr="004B7216">
        <w:rPr>
          <w:rFonts w:ascii="Arial" w:hAnsi="Arial" w:cs="Arial"/>
        </w:rPr>
        <w:t xml:space="preserve"> Monthly Pay 2xLeveraged Mortgage REIT Exchange Traded Notes due July 11, 2036” </w:t>
      </w:r>
      <w:r w:rsidR="00472877">
        <w:rPr>
          <w:rFonts w:ascii="Arial" w:hAnsi="Arial" w:cs="Arial"/>
        </w:rPr>
        <w:t>or</w:t>
      </w:r>
      <w:r w:rsidR="004B7216" w:rsidRPr="004B7216">
        <w:rPr>
          <w:rFonts w:ascii="Arial" w:hAnsi="Arial" w:cs="Arial"/>
        </w:rPr>
        <w:t xml:space="preserve"> REML. </w:t>
      </w:r>
      <w:r>
        <w:rPr>
          <w:rFonts w:ascii="Arial" w:hAnsi="Arial" w:cs="Arial"/>
        </w:rPr>
        <w:t xml:space="preserve">But </w:t>
      </w:r>
      <w:r w:rsidR="00472877">
        <w:rPr>
          <w:rFonts w:ascii="Arial" w:hAnsi="Arial" w:cs="Arial"/>
        </w:rPr>
        <w:t>REML</w:t>
      </w:r>
      <w:r w:rsidRPr="004B7216">
        <w:rPr>
          <w:rFonts w:ascii="Arial" w:hAnsi="Arial" w:cs="Arial"/>
        </w:rPr>
        <w:t xml:space="preserve"> was only suitable for aggressive investors who were willing to potentially lose their entire investment. </w:t>
      </w:r>
    </w:p>
    <w:p w14:paraId="6F661CCB" w14:textId="77777777" w:rsidR="00F2394C" w:rsidRDefault="00F2394C" w:rsidP="004B7216">
      <w:pPr>
        <w:rPr>
          <w:rFonts w:ascii="Arial" w:hAnsi="Arial" w:cs="Arial"/>
        </w:rPr>
      </w:pPr>
    </w:p>
    <w:p w14:paraId="0FE9274F" w14:textId="4BA4B47B" w:rsidR="004B7216" w:rsidRDefault="004B7216" w:rsidP="004B7216">
      <w:pPr>
        <w:rPr>
          <w:rFonts w:ascii="Arial" w:hAnsi="Arial" w:cs="Arial"/>
        </w:rPr>
      </w:pPr>
      <w:r w:rsidRPr="004B7216">
        <w:rPr>
          <w:rFonts w:ascii="Arial" w:hAnsi="Arial" w:cs="Arial"/>
        </w:rPr>
        <w:t xml:space="preserve">REML was a senior, unsecured debt security structured as an exchange traded note (ETN) that provided a monthly compounded interest of two-times leveraged long exposure to the price return of the FTSE NAREIT All Mortgage Capped Index (FNMRC). As noted in the REML pricing supplement, which accompanied the prospectus and prospectus supplement: “Because the ETNs will be two times leveraged with respect to the Index, the ETNs may benefit from two times any positive, but will be exposed to two times any negative, monthly compounded performance of the Index. . . . You should not purchase ETNs unless you are willing to risk the loss of up to 100% of your investment.” </w:t>
      </w:r>
    </w:p>
    <w:p w14:paraId="084B3117" w14:textId="77777777" w:rsidR="004B7216" w:rsidRPr="004B7216" w:rsidRDefault="004B7216" w:rsidP="004B7216">
      <w:pPr>
        <w:rPr>
          <w:rFonts w:ascii="Arial" w:hAnsi="Arial" w:cs="Arial"/>
        </w:rPr>
      </w:pPr>
    </w:p>
    <w:p w14:paraId="7E95BC84" w14:textId="3045C270" w:rsidR="004B7216" w:rsidRDefault="004B7216" w:rsidP="004B7216">
      <w:pPr>
        <w:rPr>
          <w:rFonts w:ascii="Arial" w:hAnsi="Arial" w:cs="Arial"/>
        </w:rPr>
      </w:pPr>
      <w:r w:rsidRPr="004B7216">
        <w:rPr>
          <w:rFonts w:ascii="Arial" w:hAnsi="Arial" w:cs="Arial"/>
        </w:rPr>
        <w:t xml:space="preserve">The REML fact sheet </w:t>
      </w:r>
      <w:r w:rsidR="00472877">
        <w:rPr>
          <w:rFonts w:ascii="Arial" w:hAnsi="Arial" w:cs="Arial"/>
        </w:rPr>
        <w:t xml:space="preserve">also </w:t>
      </w:r>
      <w:r w:rsidRPr="004B7216">
        <w:rPr>
          <w:rFonts w:ascii="Arial" w:hAnsi="Arial" w:cs="Arial"/>
        </w:rPr>
        <w:t xml:space="preserve">warned that REML was not appropriate for “buy-and-hold” investors and encouraged investors to “regularly monitor” their holdings “to ensure that they remain consistent with their investment strategies.” </w:t>
      </w:r>
    </w:p>
    <w:p w14:paraId="72AD6B75" w14:textId="77777777" w:rsidR="00F2394C" w:rsidRPr="004B7216" w:rsidRDefault="00F2394C" w:rsidP="004B7216">
      <w:pPr>
        <w:rPr>
          <w:rFonts w:ascii="Arial" w:hAnsi="Arial" w:cs="Arial"/>
        </w:rPr>
      </w:pPr>
    </w:p>
    <w:p w14:paraId="516E0458" w14:textId="11CCD596" w:rsidR="004B7216" w:rsidRDefault="004B7216" w:rsidP="004B7216">
      <w:pPr>
        <w:rPr>
          <w:rFonts w:ascii="Arial" w:hAnsi="Arial" w:cs="Arial"/>
        </w:rPr>
      </w:pPr>
      <w:r w:rsidRPr="004B7216">
        <w:rPr>
          <w:rFonts w:ascii="Arial" w:hAnsi="Arial" w:cs="Arial"/>
        </w:rPr>
        <w:t>In late 2019 and early 2020, REML typically traded for between $23 to $28 per share. In March 2020, the price of REML fell precipitously</w:t>
      </w:r>
      <w:r w:rsidR="002507E0">
        <w:rPr>
          <w:rFonts w:ascii="Arial" w:hAnsi="Arial" w:cs="Arial"/>
        </w:rPr>
        <w:t xml:space="preserve"> ultimately closing</w:t>
      </w:r>
      <w:r w:rsidRPr="004B7216">
        <w:rPr>
          <w:rFonts w:ascii="Arial" w:hAnsi="Arial" w:cs="Arial"/>
        </w:rPr>
        <w:t xml:space="preserve"> at $2.96</w:t>
      </w:r>
      <w:r w:rsidR="002507E0">
        <w:rPr>
          <w:rFonts w:ascii="Arial" w:hAnsi="Arial" w:cs="Arial"/>
        </w:rPr>
        <w:t xml:space="preserve"> on March 30, 2020</w:t>
      </w:r>
      <w:r w:rsidRPr="004B7216">
        <w:rPr>
          <w:rFonts w:ascii="Arial" w:hAnsi="Arial" w:cs="Arial"/>
        </w:rPr>
        <w:t xml:space="preserve">. After the crash, the price of REML slowly climbed but never fully recovered. </w:t>
      </w:r>
    </w:p>
    <w:p w14:paraId="6A9668DC" w14:textId="77777777" w:rsidR="004B7216" w:rsidRPr="004B7216" w:rsidRDefault="004B7216" w:rsidP="004B7216">
      <w:pPr>
        <w:rPr>
          <w:rFonts w:ascii="Arial" w:hAnsi="Arial" w:cs="Arial"/>
        </w:rPr>
      </w:pPr>
    </w:p>
    <w:p w14:paraId="04A98F7F" w14:textId="5CBB1A0E" w:rsidR="004B7216" w:rsidRPr="004B7216" w:rsidRDefault="004B7216" w:rsidP="004B7216">
      <w:pPr>
        <w:rPr>
          <w:rFonts w:ascii="Arial" w:hAnsi="Arial" w:cs="Arial"/>
        </w:rPr>
      </w:pPr>
      <w:r w:rsidRPr="004B7216">
        <w:rPr>
          <w:rFonts w:ascii="Arial" w:hAnsi="Arial" w:cs="Arial"/>
        </w:rPr>
        <w:t xml:space="preserve">In December 2021, Credit Suisse prematurely called REML at a price of $5.98 per share. REML ceased trading that same day, which locked in Chadwick’s </w:t>
      </w:r>
      <w:r w:rsidR="00F2394C">
        <w:rPr>
          <w:rFonts w:ascii="Arial" w:hAnsi="Arial" w:cs="Arial"/>
        </w:rPr>
        <w:t>clients’</w:t>
      </w:r>
      <w:r w:rsidRPr="004B7216">
        <w:rPr>
          <w:rFonts w:ascii="Arial" w:hAnsi="Arial" w:cs="Arial"/>
        </w:rPr>
        <w:t xml:space="preserve"> losses</w:t>
      </w:r>
      <w:r w:rsidR="00F2394C">
        <w:rPr>
          <w:rFonts w:ascii="Arial" w:hAnsi="Arial" w:cs="Arial"/>
        </w:rPr>
        <w:t>.</w:t>
      </w:r>
      <w:r w:rsidRPr="004B7216">
        <w:rPr>
          <w:rFonts w:ascii="Arial" w:hAnsi="Arial" w:cs="Arial"/>
        </w:rPr>
        <w:t xml:space="preserve"> These losses were exacerbated by the fact that Chadwick concentrated his customer base in this single security. </w:t>
      </w:r>
    </w:p>
    <w:p w14:paraId="76D8EF34" w14:textId="77777777" w:rsidR="004B7216" w:rsidRPr="004B7216" w:rsidRDefault="004B7216" w:rsidP="004B7216">
      <w:pPr>
        <w:rPr>
          <w:rFonts w:ascii="Arial" w:hAnsi="Arial" w:cs="Arial"/>
        </w:rPr>
      </w:pPr>
    </w:p>
    <w:p w14:paraId="2876A85E" w14:textId="77777777" w:rsidR="00F90751" w:rsidRDefault="00F90751" w:rsidP="00F90751">
      <w:pPr>
        <w:rPr>
          <w:rFonts w:ascii="Arial" w:hAnsi="Arial" w:cs="Arial"/>
        </w:rPr>
      </w:pPr>
      <w:r>
        <w:rPr>
          <w:rFonts w:ascii="Arial" w:hAnsi="Arial" w:cs="Arial"/>
        </w:rPr>
        <w:t>Over the years, e</w:t>
      </w:r>
      <w:r w:rsidRPr="004B7216">
        <w:rPr>
          <w:rFonts w:ascii="Arial" w:hAnsi="Arial" w:cs="Arial"/>
        </w:rPr>
        <w:t xml:space="preserve">ven a cursory examination of Chadwick’s client account information and Chadwick &amp; D’Amato’s purported investment strategy would have uncovered numerous red flags that would have given a reasonable brokerage firm cause for concern. Fidelity had a duty to properly tailor its supervisory systems to closely scrutinize </w:t>
      </w:r>
      <w:r>
        <w:rPr>
          <w:rFonts w:ascii="Arial" w:hAnsi="Arial" w:cs="Arial"/>
        </w:rPr>
        <w:t>a</w:t>
      </w:r>
      <w:r w:rsidRPr="004B7216">
        <w:rPr>
          <w:rFonts w:ascii="Arial" w:hAnsi="Arial" w:cs="Arial"/>
        </w:rPr>
        <w:t xml:space="preserve">dvisory </w:t>
      </w:r>
      <w:r>
        <w:rPr>
          <w:rFonts w:ascii="Arial" w:hAnsi="Arial" w:cs="Arial"/>
        </w:rPr>
        <w:t>c</w:t>
      </w:r>
      <w:r w:rsidRPr="004B7216">
        <w:rPr>
          <w:rFonts w:ascii="Arial" w:hAnsi="Arial" w:cs="Arial"/>
        </w:rPr>
        <w:t>lient accounts and all persons trading in these accounts</w:t>
      </w:r>
      <w:r>
        <w:rPr>
          <w:rFonts w:ascii="Arial" w:hAnsi="Arial" w:cs="Arial"/>
        </w:rPr>
        <w:t>, y</w:t>
      </w:r>
      <w:r w:rsidRPr="004B7216">
        <w:rPr>
          <w:rFonts w:ascii="Arial" w:hAnsi="Arial" w:cs="Arial"/>
        </w:rPr>
        <w:t>et</w:t>
      </w:r>
      <w:r>
        <w:rPr>
          <w:rFonts w:ascii="Arial" w:hAnsi="Arial" w:cs="Arial"/>
        </w:rPr>
        <w:t xml:space="preserve"> it</w:t>
      </w:r>
      <w:r w:rsidRPr="004B7216">
        <w:rPr>
          <w:rFonts w:ascii="Arial" w:hAnsi="Arial" w:cs="Arial"/>
        </w:rPr>
        <w:t xml:space="preserve"> continuously failed to fulfill its supervisory duties</w:t>
      </w:r>
      <w:r>
        <w:rPr>
          <w:rFonts w:ascii="Arial" w:hAnsi="Arial" w:cs="Arial"/>
        </w:rPr>
        <w:t xml:space="preserve">. </w:t>
      </w:r>
      <w:r w:rsidRPr="004B7216">
        <w:rPr>
          <w:rFonts w:ascii="Arial" w:hAnsi="Arial" w:cs="Arial"/>
        </w:rPr>
        <w:t xml:space="preserve">Fidelity’s failure to properly fulfill its supervisory duties enabled Chadwick and his firm to commit their </w:t>
      </w:r>
      <w:r>
        <w:rPr>
          <w:rFonts w:ascii="Arial" w:hAnsi="Arial" w:cs="Arial"/>
        </w:rPr>
        <w:t xml:space="preserve">misconduct </w:t>
      </w:r>
      <w:r w:rsidRPr="004B7216">
        <w:rPr>
          <w:rFonts w:ascii="Arial" w:hAnsi="Arial" w:cs="Arial"/>
        </w:rPr>
        <w:t xml:space="preserve">and caused </w:t>
      </w:r>
      <w:r>
        <w:rPr>
          <w:rFonts w:ascii="Arial" w:hAnsi="Arial" w:cs="Arial"/>
        </w:rPr>
        <w:t>his clients</w:t>
      </w:r>
      <w:r w:rsidRPr="004B7216">
        <w:rPr>
          <w:rFonts w:ascii="Arial" w:hAnsi="Arial" w:cs="Arial"/>
        </w:rPr>
        <w:t xml:space="preserve"> to sustain the substantial losses that they did.</w:t>
      </w:r>
    </w:p>
    <w:p w14:paraId="287F8F6A" w14:textId="77777777" w:rsidR="00F90751" w:rsidRDefault="00F90751" w:rsidP="00F90751">
      <w:pPr>
        <w:rPr>
          <w:rFonts w:ascii="Arial" w:hAnsi="Arial" w:cs="Arial"/>
        </w:rPr>
      </w:pPr>
    </w:p>
    <w:p w14:paraId="51DA2CA4" w14:textId="74EBC63F" w:rsidR="004B7216" w:rsidRPr="00D76B01" w:rsidRDefault="00D76B01" w:rsidP="004B7216">
      <w:pPr>
        <w:rPr>
          <w:rFonts w:ascii="Arial" w:hAnsi="Arial" w:cs="Arial"/>
          <w:b/>
          <w:bCs/>
        </w:rPr>
      </w:pPr>
      <w:r w:rsidRPr="00D76B01">
        <w:rPr>
          <w:rFonts w:ascii="Arial" w:hAnsi="Arial" w:cs="Arial"/>
          <w:b/>
          <w:bCs/>
        </w:rPr>
        <w:t>Illegal Investment Advice</w:t>
      </w:r>
      <w:r w:rsidR="00EF241F">
        <w:rPr>
          <w:rFonts w:ascii="Arial" w:hAnsi="Arial" w:cs="Arial"/>
          <w:b/>
          <w:bCs/>
        </w:rPr>
        <w:t xml:space="preserve"> and Fraud</w:t>
      </w:r>
    </w:p>
    <w:p w14:paraId="01B78420" w14:textId="4E96A025" w:rsidR="004B7216" w:rsidRDefault="004B7216" w:rsidP="004B7216">
      <w:pPr>
        <w:rPr>
          <w:rFonts w:ascii="Arial" w:hAnsi="Arial" w:cs="Arial"/>
        </w:rPr>
      </w:pPr>
      <w:r w:rsidRPr="004B7216">
        <w:rPr>
          <w:rFonts w:ascii="Arial" w:hAnsi="Arial" w:cs="Arial"/>
        </w:rPr>
        <w:t>In late 2021, Chadwick formed Chadwick Consulting</w:t>
      </w:r>
      <w:r w:rsidR="00085152">
        <w:rPr>
          <w:rFonts w:ascii="Arial" w:hAnsi="Arial" w:cs="Arial"/>
        </w:rPr>
        <w:t xml:space="preserve"> </w:t>
      </w:r>
      <w:r w:rsidR="00D22D24">
        <w:rPr>
          <w:rFonts w:ascii="Arial" w:hAnsi="Arial" w:cs="Arial"/>
        </w:rPr>
        <w:t xml:space="preserve">and </w:t>
      </w:r>
      <w:r w:rsidR="00416F0E">
        <w:rPr>
          <w:rFonts w:ascii="Arial" w:hAnsi="Arial" w:cs="Arial"/>
        </w:rPr>
        <w:t xml:space="preserve">terminated </w:t>
      </w:r>
      <w:r w:rsidR="00E0671E" w:rsidRPr="004B7216">
        <w:rPr>
          <w:rFonts w:ascii="Arial" w:hAnsi="Arial" w:cs="Arial"/>
        </w:rPr>
        <w:t xml:space="preserve">Chadwick &amp; D’Amato’s registrations </w:t>
      </w:r>
      <w:r w:rsidR="00E0671E">
        <w:rPr>
          <w:rFonts w:ascii="Arial" w:hAnsi="Arial" w:cs="Arial"/>
        </w:rPr>
        <w:t xml:space="preserve">as investment advisors in </w:t>
      </w:r>
      <w:r w:rsidR="00E0671E" w:rsidRPr="004B7216">
        <w:rPr>
          <w:rFonts w:ascii="Arial" w:hAnsi="Arial" w:cs="Arial"/>
        </w:rPr>
        <w:t xml:space="preserve">Vermont and New Hampshire. </w:t>
      </w:r>
      <w:r w:rsidRPr="004B7216">
        <w:rPr>
          <w:rFonts w:ascii="Arial" w:hAnsi="Arial" w:cs="Arial"/>
        </w:rPr>
        <w:t xml:space="preserve">Chadwick Consulting </w:t>
      </w:r>
      <w:proofErr w:type="gramStart"/>
      <w:r w:rsidRPr="004B7216">
        <w:rPr>
          <w:rFonts w:ascii="Arial" w:hAnsi="Arial" w:cs="Arial"/>
        </w:rPr>
        <w:t>submitted an application</w:t>
      </w:r>
      <w:proofErr w:type="gramEnd"/>
      <w:r w:rsidRPr="004B7216">
        <w:rPr>
          <w:rFonts w:ascii="Arial" w:hAnsi="Arial" w:cs="Arial"/>
        </w:rPr>
        <w:t xml:space="preserve"> to register as an investment adviser with the State of Vermont</w:t>
      </w:r>
      <w:r w:rsidR="00E0671E">
        <w:rPr>
          <w:rFonts w:ascii="Arial" w:hAnsi="Arial" w:cs="Arial"/>
        </w:rPr>
        <w:t xml:space="preserve"> but</w:t>
      </w:r>
      <w:r w:rsidRPr="004B7216">
        <w:rPr>
          <w:rFonts w:ascii="Arial" w:hAnsi="Arial" w:cs="Arial"/>
        </w:rPr>
        <w:t xml:space="preserve"> </w:t>
      </w:r>
      <w:r w:rsidR="0005040F">
        <w:rPr>
          <w:rFonts w:ascii="Arial" w:hAnsi="Arial" w:cs="Arial"/>
        </w:rPr>
        <w:t xml:space="preserve">later </w:t>
      </w:r>
      <w:r w:rsidRPr="004B7216">
        <w:rPr>
          <w:rFonts w:ascii="Arial" w:hAnsi="Arial" w:cs="Arial"/>
        </w:rPr>
        <w:t xml:space="preserve">withdrew </w:t>
      </w:r>
      <w:r w:rsidR="00085152">
        <w:rPr>
          <w:rFonts w:ascii="Arial" w:hAnsi="Arial" w:cs="Arial"/>
        </w:rPr>
        <w:t>the</w:t>
      </w:r>
      <w:r w:rsidRPr="004B7216">
        <w:rPr>
          <w:rFonts w:ascii="Arial" w:hAnsi="Arial" w:cs="Arial"/>
        </w:rPr>
        <w:t xml:space="preserve"> application in February 2022. </w:t>
      </w:r>
    </w:p>
    <w:p w14:paraId="65FA01FA" w14:textId="77777777" w:rsidR="004B7216" w:rsidRPr="004B7216" w:rsidRDefault="004B7216" w:rsidP="004B7216">
      <w:pPr>
        <w:rPr>
          <w:rFonts w:ascii="Arial" w:hAnsi="Arial" w:cs="Arial"/>
        </w:rPr>
      </w:pPr>
    </w:p>
    <w:p w14:paraId="5CA2292B" w14:textId="2F395664" w:rsidR="004B7216" w:rsidRDefault="004B7216" w:rsidP="004B7216">
      <w:pPr>
        <w:rPr>
          <w:rFonts w:ascii="Arial" w:hAnsi="Arial" w:cs="Arial"/>
        </w:rPr>
      </w:pPr>
      <w:r w:rsidRPr="004B7216">
        <w:rPr>
          <w:rFonts w:ascii="Arial" w:hAnsi="Arial" w:cs="Arial"/>
        </w:rPr>
        <w:t>After Chadwick’s registration</w:t>
      </w:r>
      <w:r w:rsidR="00D22D24">
        <w:rPr>
          <w:rFonts w:ascii="Arial" w:hAnsi="Arial" w:cs="Arial"/>
        </w:rPr>
        <w:t xml:space="preserve">s </w:t>
      </w:r>
      <w:r w:rsidRPr="004B7216">
        <w:rPr>
          <w:rFonts w:ascii="Arial" w:hAnsi="Arial" w:cs="Arial"/>
        </w:rPr>
        <w:t xml:space="preserve">ended, he </w:t>
      </w:r>
      <w:r w:rsidR="00D22D24">
        <w:rPr>
          <w:rFonts w:ascii="Arial" w:hAnsi="Arial" w:cs="Arial"/>
        </w:rPr>
        <w:t xml:space="preserve">still </w:t>
      </w:r>
      <w:r w:rsidRPr="004B7216">
        <w:rPr>
          <w:rFonts w:ascii="Arial" w:hAnsi="Arial" w:cs="Arial"/>
        </w:rPr>
        <w:t xml:space="preserve">met with clients, discussed their accounts, and sent numerous emails that contained investment advice. </w:t>
      </w:r>
      <w:r w:rsidR="00D22D24">
        <w:rPr>
          <w:rFonts w:ascii="Arial" w:hAnsi="Arial" w:cs="Arial"/>
        </w:rPr>
        <w:t>H</w:t>
      </w:r>
      <w:r w:rsidRPr="004B7216">
        <w:rPr>
          <w:rFonts w:ascii="Arial" w:hAnsi="Arial" w:cs="Arial"/>
        </w:rPr>
        <w:t xml:space="preserve">e </w:t>
      </w:r>
      <w:r w:rsidR="00D22D24">
        <w:rPr>
          <w:rFonts w:ascii="Arial" w:hAnsi="Arial" w:cs="Arial"/>
        </w:rPr>
        <w:t>told</w:t>
      </w:r>
      <w:r w:rsidRPr="004B7216">
        <w:rPr>
          <w:rFonts w:ascii="Arial" w:hAnsi="Arial" w:cs="Arial"/>
        </w:rPr>
        <w:t xml:space="preserve"> several clients that he expected to be registered </w:t>
      </w:r>
      <w:proofErr w:type="gramStart"/>
      <w:r w:rsidRPr="004B7216">
        <w:rPr>
          <w:rFonts w:ascii="Arial" w:hAnsi="Arial" w:cs="Arial"/>
        </w:rPr>
        <w:t>in the near future</w:t>
      </w:r>
      <w:proofErr w:type="gramEnd"/>
      <w:r w:rsidRPr="004B7216">
        <w:rPr>
          <w:rFonts w:ascii="Arial" w:hAnsi="Arial" w:cs="Arial"/>
        </w:rPr>
        <w:t xml:space="preserve"> and intended to resume his investment adviser business as soon as Chadwick Consulting was registered in New Hampshire and Vermont. </w:t>
      </w:r>
    </w:p>
    <w:p w14:paraId="60A946FA" w14:textId="77777777" w:rsidR="00C679B0" w:rsidRPr="004B7216" w:rsidRDefault="00C679B0" w:rsidP="004B7216">
      <w:pPr>
        <w:rPr>
          <w:rFonts w:ascii="Arial" w:hAnsi="Arial" w:cs="Arial"/>
        </w:rPr>
      </w:pPr>
    </w:p>
    <w:p w14:paraId="7F068028" w14:textId="0B612BCA" w:rsidR="00D22D24" w:rsidRDefault="003D3B94" w:rsidP="00D22D24">
      <w:pPr>
        <w:rPr>
          <w:rFonts w:ascii="Arial" w:hAnsi="Arial" w:cs="Arial"/>
        </w:rPr>
      </w:pPr>
      <w:r>
        <w:rPr>
          <w:rFonts w:ascii="Arial" w:hAnsi="Arial" w:cs="Arial"/>
        </w:rPr>
        <w:lastRenderedPageBreak/>
        <w:t xml:space="preserve">Meanwhile, </w:t>
      </w:r>
      <w:r w:rsidR="00D22D24" w:rsidRPr="004B7216">
        <w:rPr>
          <w:rFonts w:ascii="Arial" w:hAnsi="Arial" w:cs="Arial"/>
        </w:rPr>
        <w:t xml:space="preserve">Fidelity terminated its relationship with Chadwick and Chadwick &amp; D’Amato </w:t>
      </w:r>
      <w:r w:rsidR="00D22D24">
        <w:rPr>
          <w:rFonts w:ascii="Arial" w:hAnsi="Arial" w:cs="Arial"/>
        </w:rPr>
        <w:t xml:space="preserve">at the end of 2021 </w:t>
      </w:r>
      <w:r w:rsidR="00D22D24" w:rsidRPr="004B7216">
        <w:rPr>
          <w:rFonts w:ascii="Arial" w:hAnsi="Arial" w:cs="Arial"/>
        </w:rPr>
        <w:t xml:space="preserve">and removed them from Fidelity’s custodian platform. At that point, Chadwick and Chadwick Consulting no longer had lawful access to their clients’ retail customer accounts held at Fidelity. </w:t>
      </w:r>
    </w:p>
    <w:p w14:paraId="488F2460" w14:textId="77777777" w:rsidR="00D22D24" w:rsidRDefault="00D22D24" w:rsidP="00D22D24">
      <w:pPr>
        <w:rPr>
          <w:rFonts w:ascii="Arial" w:hAnsi="Arial" w:cs="Arial"/>
        </w:rPr>
      </w:pPr>
    </w:p>
    <w:p w14:paraId="541237A7" w14:textId="3AB1CBD5" w:rsidR="004B7216" w:rsidRDefault="004B7216" w:rsidP="004B7216">
      <w:pPr>
        <w:rPr>
          <w:rFonts w:ascii="Arial" w:hAnsi="Arial" w:cs="Arial"/>
        </w:rPr>
      </w:pPr>
      <w:r w:rsidRPr="004B7216">
        <w:rPr>
          <w:rFonts w:ascii="Arial" w:hAnsi="Arial" w:cs="Arial"/>
        </w:rPr>
        <w:t xml:space="preserve">In January 2022, Chadwick sent his clients an email explaining that Chadwick &amp; D’Amato was closing and that all client accounts would be transferred to Chadwick Consulting. He noted that Chadwick Consulting could not be registered until an open regulatory review was completed for Chadwick &amp; D’Amato. Chadwick </w:t>
      </w:r>
      <w:r w:rsidR="00F90751">
        <w:rPr>
          <w:rFonts w:ascii="Arial" w:hAnsi="Arial" w:cs="Arial"/>
        </w:rPr>
        <w:t>told</w:t>
      </w:r>
      <w:r w:rsidRPr="004B7216">
        <w:rPr>
          <w:rFonts w:ascii="Arial" w:hAnsi="Arial" w:cs="Arial"/>
        </w:rPr>
        <w:t xml:space="preserve"> clients that “no action” was required in the “short term.” </w:t>
      </w:r>
      <w:r w:rsidR="0005040F">
        <w:rPr>
          <w:rFonts w:ascii="Arial" w:hAnsi="Arial" w:cs="Arial"/>
        </w:rPr>
        <w:t xml:space="preserve">This became the pretense for Chadwick’s </w:t>
      </w:r>
      <w:r w:rsidR="0005040F" w:rsidRPr="0005040F">
        <w:rPr>
          <w:rFonts w:ascii="Arial" w:hAnsi="Arial" w:cs="Arial"/>
        </w:rPr>
        <w:t>pattern of inappropriately accessing customer accounts</w:t>
      </w:r>
      <w:r w:rsidR="0005040F">
        <w:rPr>
          <w:rFonts w:ascii="Arial" w:hAnsi="Arial" w:cs="Arial"/>
        </w:rPr>
        <w:t>.</w:t>
      </w:r>
      <w:r w:rsidR="0005040F" w:rsidRPr="004B7216">
        <w:rPr>
          <w:rFonts w:ascii="Arial" w:hAnsi="Arial" w:cs="Arial"/>
        </w:rPr>
        <w:t xml:space="preserve"> </w:t>
      </w:r>
      <w:r w:rsidRPr="004B7216">
        <w:rPr>
          <w:rFonts w:ascii="Arial" w:hAnsi="Arial" w:cs="Arial"/>
        </w:rPr>
        <w:t xml:space="preserve">In an email to one customer, </w:t>
      </w:r>
      <w:r w:rsidR="00F90751">
        <w:rPr>
          <w:rFonts w:ascii="Arial" w:hAnsi="Arial" w:cs="Arial"/>
        </w:rPr>
        <w:t>he</w:t>
      </w:r>
      <w:r w:rsidRPr="004B7216">
        <w:rPr>
          <w:rFonts w:ascii="Arial" w:hAnsi="Arial" w:cs="Arial"/>
        </w:rPr>
        <w:t xml:space="preserve"> wrote “[w]e can always log into your Fidelity accounts together . . . should anything need to be done in the short-term.” </w:t>
      </w:r>
    </w:p>
    <w:p w14:paraId="7021307F" w14:textId="77777777" w:rsidR="002507E0" w:rsidRDefault="002507E0" w:rsidP="004B7216">
      <w:pPr>
        <w:rPr>
          <w:rFonts w:ascii="Arial" w:hAnsi="Arial" w:cs="Arial"/>
        </w:rPr>
      </w:pPr>
    </w:p>
    <w:p w14:paraId="23094AF9" w14:textId="568B71AD" w:rsidR="002507E0" w:rsidRDefault="002507E0" w:rsidP="004B7216">
      <w:pPr>
        <w:rPr>
          <w:rFonts w:ascii="Arial" w:hAnsi="Arial" w:cs="Arial"/>
        </w:rPr>
      </w:pPr>
      <w:r>
        <w:rPr>
          <w:rFonts w:ascii="Arial" w:hAnsi="Arial" w:cs="Arial"/>
        </w:rPr>
        <w:t>Chadwick inappropriately accessed approximately 40 Fidelity customer accounts to purchase securities and engage in a pattern of securities trading across those accounts.  This was yet another red flag that Fidelity failed to act upon until it was too late.</w:t>
      </w:r>
    </w:p>
    <w:p w14:paraId="0E7B2D32" w14:textId="77777777" w:rsidR="00C679B0" w:rsidRPr="004B7216" w:rsidRDefault="00C679B0" w:rsidP="004B7216">
      <w:pPr>
        <w:rPr>
          <w:rFonts w:ascii="Arial" w:hAnsi="Arial" w:cs="Arial"/>
        </w:rPr>
      </w:pPr>
    </w:p>
    <w:p w14:paraId="5B4C8AE0" w14:textId="77777777" w:rsidR="00BE7333" w:rsidRDefault="00BE7333" w:rsidP="00984F86">
      <w:pPr>
        <w:rPr>
          <w:rFonts w:ascii="Arial" w:hAnsi="Arial" w:cs="Arial"/>
        </w:rPr>
      </w:pPr>
    </w:p>
    <w:p w14:paraId="3A967A67" w14:textId="39E29347" w:rsidR="00CB4826" w:rsidRDefault="00CB4826" w:rsidP="00CB4826">
      <w:pPr>
        <w:jc w:val="center"/>
        <w:rPr>
          <w:rFonts w:ascii="Arial" w:hAnsi="Arial" w:cs="Arial"/>
        </w:rPr>
      </w:pPr>
      <w:r>
        <w:rPr>
          <w:rFonts w:ascii="Arial" w:hAnsi="Arial" w:cs="Arial"/>
        </w:rPr>
        <w:t>###</w:t>
      </w:r>
    </w:p>
    <w:p w14:paraId="5892C274" w14:textId="77777777" w:rsidR="00E13A89" w:rsidRPr="006453BE" w:rsidRDefault="00E13A89" w:rsidP="00E13A89">
      <w:pPr>
        <w:rPr>
          <w:rFonts w:ascii="Arial" w:hAnsi="Arial" w:cs="Arial"/>
        </w:rPr>
      </w:pPr>
    </w:p>
    <w:p w14:paraId="113AD142" w14:textId="77777777" w:rsidR="00E13A89" w:rsidRPr="006453BE" w:rsidRDefault="00E13A89" w:rsidP="00E13A89">
      <w:pPr>
        <w:rPr>
          <w:rFonts w:ascii="Arial" w:hAnsi="Arial" w:cs="Arial"/>
          <w:b/>
          <w:bCs/>
          <w:u w:val="single"/>
        </w:rPr>
      </w:pPr>
      <w:r w:rsidRPr="006453BE">
        <w:rPr>
          <w:rFonts w:ascii="Arial" w:hAnsi="Arial" w:cs="Arial"/>
          <w:b/>
          <w:bCs/>
          <w:u w:val="single"/>
        </w:rPr>
        <w:t>MEDIA CONTACT:</w:t>
      </w:r>
    </w:p>
    <w:p w14:paraId="2EAB4E27" w14:textId="0B14EDCF" w:rsidR="00E13A89" w:rsidRPr="004B6CB5" w:rsidRDefault="00E13A89" w:rsidP="00E13A89">
      <w:pPr>
        <w:rPr>
          <w:rFonts w:ascii="Arial" w:hAnsi="Arial" w:cs="Arial"/>
          <w:color w:val="0563C1" w:themeColor="hyperlink"/>
          <w:u w:val="single"/>
        </w:rPr>
      </w:pPr>
      <w:r w:rsidRPr="006453BE">
        <w:rPr>
          <w:rFonts w:ascii="Arial" w:hAnsi="Arial" w:cs="Arial"/>
        </w:rPr>
        <w:t xml:space="preserve">Max Karlin at </w:t>
      </w:r>
      <w:r>
        <w:rPr>
          <w:rFonts w:ascii="Arial" w:hAnsi="Arial" w:cs="Arial"/>
        </w:rPr>
        <w:t>(</w:t>
      </w:r>
      <w:r w:rsidR="00652B48">
        <w:rPr>
          <w:rFonts w:ascii="Arial" w:hAnsi="Arial" w:cs="Arial"/>
        </w:rPr>
        <w:t>703</w:t>
      </w:r>
      <w:r>
        <w:rPr>
          <w:rFonts w:ascii="Arial" w:hAnsi="Arial" w:cs="Arial"/>
        </w:rPr>
        <w:t xml:space="preserve">) </w:t>
      </w:r>
      <w:r w:rsidR="00652B48">
        <w:rPr>
          <w:rFonts w:ascii="Arial" w:hAnsi="Arial" w:cs="Arial"/>
        </w:rPr>
        <w:t>276-3255</w:t>
      </w:r>
      <w:r w:rsidRPr="006453BE">
        <w:rPr>
          <w:rFonts w:ascii="Arial" w:hAnsi="Arial" w:cs="Arial"/>
        </w:rPr>
        <w:t xml:space="preserve"> or </w:t>
      </w:r>
      <w:hyperlink r:id="rId11" w:history="1">
        <w:r w:rsidR="00565FE2" w:rsidRPr="005F6D30">
          <w:rPr>
            <w:rStyle w:val="Hyperlink"/>
            <w:rFonts w:ascii="Arial" w:hAnsi="Arial" w:cs="Arial"/>
          </w:rPr>
          <w:t>mkarlin@hastingsgroupmedia.com</w:t>
        </w:r>
      </w:hyperlink>
      <w:r w:rsidR="00746A22">
        <w:rPr>
          <w:rFonts w:ascii="Arial" w:hAnsi="Arial" w:cs="Arial"/>
        </w:rPr>
        <w:t>.</w:t>
      </w:r>
    </w:p>
    <w:p w14:paraId="75C33EC2" w14:textId="77777777" w:rsidR="00746A22" w:rsidRDefault="00746A22" w:rsidP="00E13A89">
      <w:pPr>
        <w:rPr>
          <w:rFonts w:ascii="Arial" w:hAnsi="Arial" w:cs="Arial"/>
        </w:rPr>
      </w:pPr>
    </w:p>
    <w:p w14:paraId="2D79C1D4" w14:textId="0BB38D00" w:rsidR="00DB1228" w:rsidRPr="00F53570" w:rsidRDefault="00652B48" w:rsidP="00652B48">
      <w:pPr>
        <w:rPr>
          <w:rFonts w:ascii="Arial" w:hAnsi="Arial" w:cs="Arial"/>
        </w:rPr>
      </w:pPr>
      <w:r w:rsidRPr="00074273">
        <w:rPr>
          <w:rFonts w:ascii="Arial" w:hAnsi="Arial" w:cs="Arial"/>
          <w:b/>
          <w:bCs/>
        </w:rPr>
        <w:t>Peiffer Wolf Carr Kane Conway &amp; Wise</w:t>
      </w:r>
      <w:r w:rsidRPr="00652B48">
        <w:rPr>
          <w:rFonts w:ascii="Arial" w:hAnsi="Arial" w:cs="Arial"/>
        </w:rPr>
        <w:t xml:space="preserve"> is a national law firm with offices in </w:t>
      </w:r>
      <w:r w:rsidR="001A4BAE" w:rsidRPr="00652B48">
        <w:rPr>
          <w:rFonts w:ascii="Arial" w:hAnsi="Arial" w:cs="Arial"/>
        </w:rPr>
        <w:t xml:space="preserve">New Orleans, New York, </w:t>
      </w:r>
      <w:r w:rsidR="001A4BAE">
        <w:rPr>
          <w:rFonts w:ascii="Arial" w:hAnsi="Arial" w:cs="Arial"/>
        </w:rPr>
        <w:t xml:space="preserve">Chicago, </w:t>
      </w:r>
      <w:r w:rsidR="007F6297">
        <w:rPr>
          <w:rFonts w:ascii="Arial" w:hAnsi="Arial" w:cs="Arial"/>
        </w:rPr>
        <w:t xml:space="preserve">San Francisco, Los Angeles, </w:t>
      </w:r>
      <w:r w:rsidRPr="00652B48">
        <w:rPr>
          <w:rFonts w:ascii="Arial" w:hAnsi="Arial" w:cs="Arial"/>
        </w:rPr>
        <w:t>Cleveland, Youngstown, St. Louis</w:t>
      </w:r>
      <w:r w:rsidR="005B3FF4">
        <w:rPr>
          <w:rFonts w:ascii="Arial" w:hAnsi="Arial" w:cs="Arial"/>
        </w:rPr>
        <w:t xml:space="preserve"> and Detroit</w:t>
      </w:r>
      <w:r w:rsidRPr="00652B48">
        <w:rPr>
          <w:rFonts w:ascii="Arial" w:hAnsi="Arial" w:cs="Arial"/>
        </w:rPr>
        <w:t>. Visit</w:t>
      </w:r>
      <w:r w:rsidR="00BB1B78">
        <w:rPr>
          <w:rFonts w:ascii="Arial" w:hAnsi="Arial" w:cs="Arial"/>
        </w:rPr>
        <w:t xml:space="preserve"> </w:t>
      </w:r>
      <w:hyperlink r:id="rId12" w:history="1">
        <w:r w:rsidR="00BB1B78" w:rsidRPr="000D6E72">
          <w:rPr>
            <w:rStyle w:val="Hyperlink"/>
            <w:rFonts w:ascii="Arial" w:hAnsi="Arial" w:cs="Arial"/>
          </w:rPr>
          <w:t>https://brokerwatch.com/</w:t>
        </w:r>
      </w:hyperlink>
      <w:r w:rsidR="00BB1B78">
        <w:rPr>
          <w:rFonts w:ascii="Arial" w:hAnsi="Arial" w:cs="Arial"/>
        </w:rPr>
        <w:t xml:space="preserve"> </w:t>
      </w:r>
      <w:r w:rsidRPr="00652B48">
        <w:rPr>
          <w:rFonts w:ascii="Arial" w:hAnsi="Arial" w:cs="Arial"/>
        </w:rPr>
        <w:t>for more information.</w:t>
      </w:r>
    </w:p>
    <w:sectPr w:rsidR="00DB1228" w:rsidRPr="00F53570" w:rsidSect="006108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03BF9" w14:textId="77777777" w:rsidR="00E56D6D" w:rsidRDefault="00E56D6D" w:rsidP="00CB4826">
      <w:r>
        <w:separator/>
      </w:r>
    </w:p>
  </w:endnote>
  <w:endnote w:type="continuationSeparator" w:id="0">
    <w:p w14:paraId="185D0E91" w14:textId="77777777" w:rsidR="00E56D6D" w:rsidRDefault="00E56D6D" w:rsidP="00CB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D782" w14:textId="77777777" w:rsidR="00E56D6D" w:rsidRDefault="00E56D6D" w:rsidP="00CB4826">
      <w:r>
        <w:separator/>
      </w:r>
    </w:p>
  </w:footnote>
  <w:footnote w:type="continuationSeparator" w:id="0">
    <w:p w14:paraId="318DB18B" w14:textId="77777777" w:rsidR="00E56D6D" w:rsidRDefault="00E56D6D" w:rsidP="00CB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E4FA5"/>
    <w:multiLevelType w:val="hybridMultilevel"/>
    <w:tmpl w:val="66426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846A0E"/>
    <w:multiLevelType w:val="multilevel"/>
    <w:tmpl w:val="EB98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698261">
    <w:abstractNumId w:val="0"/>
  </w:num>
  <w:num w:numId="2" w16cid:durableId="170652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89"/>
    <w:rsid w:val="00006461"/>
    <w:rsid w:val="000357E3"/>
    <w:rsid w:val="0005040F"/>
    <w:rsid w:val="00053F8A"/>
    <w:rsid w:val="00054A66"/>
    <w:rsid w:val="00055EED"/>
    <w:rsid w:val="000720E7"/>
    <w:rsid w:val="00074273"/>
    <w:rsid w:val="000756DB"/>
    <w:rsid w:val="00075BA3"/>
    <w:rsid w:val="000821EF"/>
    <w:rsid w:val="00085152"/>
    <w:rsid w:val="00086B5A"/>
    <w:rsid w:val="00087E35"/>
    <w:rsid w:val="00090AE4"/>
    <w:rsid w:val="00094F26"/>
    <w:rsid w:val="0009586C"/>
    <w:rsid w:val="00095E4C"/>
    <w:rsid w:val="000B3EED"/>
    <w:rsid w:val="000C3740"/>
    <w:rsid w:val="000C441F"/>
    <w:rsid w:val="000D7A03"/>
    <w:rsid w:val="000E019D"/>
    <w:rsid w:val="000E200B"/>
    <w:rsid w:val="000E7949"/>
    <w:rsid w:val="000F7D9A"/>
    <w:rsid w:val="00107E9B"/>
    <w:rsid w:val="00120099"/>
    <w:rsid w:val="00121E7A"/>
    <w:rsid w:val="00121EE3"/>
    <w:rsid w:val="00133033"/>
    <w:rsid w:val="00142AD0"/>
    <w:rsid w:val="00142B60"/>
    <w:rsid w:val="00144F80"/>
    <w:rsid w:val="00165349"/>
    <w:rsid w:val="00167063"/>
    <w:rsid w:val="00172E93"/>
    <w:rsid w:val="0017777D"/>
    <w:rsid w:val="001778D2"/>
    <w:rsid w:val="001868E8"/>
    <w:rsid w:val="0019277E"/>
    <w:rsid w:val="00197935"/>
    <w:rsid w:val="001A4BAE"/>
    <w:rsid w:val="001B12BA"/>
    <w:rsid w:val="001B2B5F"/>
    <w:rsid w:val="001B4006"/>
    <w:rsid w:val="001C3088"/>
    <w:rsid w:val="001D1C07"/>
    <w:rsid w:val="001D2B9F"/>
    <w:rsid w:val="001D63ED"/>
    <w:rsid w:val="001F67F8"/>
    <w:rsid w:val="00203C6E"/>
    <w:rsid w:val="0020523D"/>
    <w:rsid w:val="00211A4E"/>
    <w:rsid w:val="0021493A"/>
    <w:rsid w:val="00221214"/>
    <w:rsid w:val="00227E2C"/>
    <w:rsid w:val="00236EC5"/>
    <w:rsid w:val="002507E0"/>
    <w:rsid w:val="00255C64"/>
    <w:rsid w:val="0025788A"/>
    <w:rsid w:val="00262551"/>
    <w:rsid w:val="00262AFB"/>
    <w:rsid w:val="00263899"/>
    <w:rsid w:val="00264626"/>
    <w:rsid w:val="00275329"/>
    <w:rsid w:val="00283362"/>
    <w:rsid w:val="002913FA"/>
    <w:rsid w:val="002A4076"/>
    <w:rsid w:val="002A7968"/>
    <w:rsid w:val="002A7994"/>
    <w:rsid w:val="002B0F02"/>
    <w:rsid w:val="002C5C9E"/>
    <w:rsid w:val="002C7C44"/>
    <w:rsid w:val="002D04E2"/>
    <w:rsid w:val="002D5CB7"/>
    <w:rsid w:val="002E0685"/>
    <w:rsid w:val="002E0D0D"/>
    <w:rsid w:val="002E7A85"/>
    <w:rsid w:val="002F7584"/>
    <w:rsid w:val="00304286"/>
    <w:rsid w:val="003175C6"/>
    <w:rsid w:val="00324F6C"/>
    <w:rsid w:val="00327939"/>
    <w:rsid w:val="003310C6"/>
    <w:rsid w:val="00337298"/>
    <w:rsid w:val="00354AFD"/>
    <w:rsid w:val="003639AA"/>
    <w:rsid w:val="0038707D"/>
    <w:rsid w:val="003872D6"/>
    <w:rsid w:val="0039357A"/>
    <w:rsid w:val="003A02C5"/>
    <w:rsid w:val="003B327D"/>
    <w:rsid w:val="003D3B94"/>
    <w:rsid w:val="003D42C9"/>
    <w:rsid w:val="003F7341"/>
    <w:rsid w:val="00405288"/>
    <w:rsid w:val="00416F0E"/>
    <w:rsid w:val="0042278C"/>
    <w:rsid w:val="004446DD"/>
    <w:rsid w:val="00454D14"/>
    <w:rsid w:val="00455EC1"/>
    <w:rsid w:val="00456103"/>
    <w:rsid w:val="0047018C"/>
    <w:rsid w:val="00472877"/>
    <w:rsid w:val="00474157"/>
    <w:rsid w:val="00474458"/>
    <w:rsid w:val="004744F9"/>
    <w:rsid w:val="00483FD6"/>
    <w:rsid w:val="00484550"/>
    <w:rsid w:val="004846F0"/>
    <w:rsid w:val="0048500C"/>
    <w:rsid w:val="00485E9B"/>
    <w:rsid w:val="004A084C"/>
    <w:rsid w:val="004B5E90"/>
    <w:rsid w:val="004B6CB5"/>
    <w:rsid w:val="004B7216"/>
    <w:rsid w:val="004C17A5"/>
    <w:rsid w:val="004C260B"/>
    <w:rsid w:val="004C6213"/>
    <w:rsid w:val="004C728D"/>
    <w:rsid w:val="004D0847"/>
    <w:rsid w:val="004E0691"/>
    <w:rsid w:val="00504C2F"/>
    <w:rsid w:val="00515791"/>
    <w:rsid w:val="005324E2"/>
    <w:rsid w:val="00533555"/>
    <w:rsid w:val="005407BB"/>
    <w:rsid w:val="0056479E"/>
    <w:rsid w:val="00565FE2"/>
    <w:rsid w:val="0057057C"/>
    <w:rsid w:val="0057232B"/>
    <w:rsid w:val="0057547E"/>
    <w:rsid w:val="00577695"/>
    <w:rsid w:val="0058374C"/>
    <w:rsid w:val="0058697B"/>
    <w:rsid w:val="005946E7"/>
    <w:rsid w:val="005A32B9"/>
    <w:rsid w:val="005A4077"/>
    <w:rsid w:val="005A69B0"/>
    <w:rsid w:val="005B1595"/>
    <w:rsid w:val="005B3FF4"/>
    <w:rsid w:val="005B68B3"/>
    <w:rsid w:val="005B70A3"/>
    <w:rsid w:val="005D2F21"/>
    <w:rsid w:val="005D32C8"/>
    <w:rsid w:val="005E2A8F"/>
    <w:rsid w:val="0060310D"/>
    <w:rsid w:val="00610832"/>
    <w:rsid w:val="00631E54"/>
    <w:rsid w:val="00652B48"/>
    <w:rsid w:val="00660957"/>
    <w:rsid w:val="00662D86"/>
    <w:rsid w:val="006631C7"/>
    <w:rsid w:val="00663373"/>
    <w:rsid w:val="006647B8"/>
    <w:rsid w:val="00681532"/>
    <w:rsid w:val="00683D97"/>
    <w:rsid w:val="00693EDF"/>
    <w:rsid w:val="006955EE"/>
    <w:rsid w:val="006A7CD6"/>
    <w:rsid w:val="006C1529"/>
    <w:rsid w:val="006C4FC3"/>
    <w:rsid w:val="006D4C74"/>
    <w:rsid w:val="006D5B94"/>
    <w:rsid w:val="006E2F37"/>
    <w:rsid w:val="006E512A"/>
    <w:rsid w:val="00707C6C"/>
    <w:rsid w:val="00720C3E"/>
    <w:rsid w:val="007264FD"/>
    <w:rsid w:val="00746A22"/>
    <w:rsid w:val="00752EA7"/>
    <w:rsid w:val="007542EC"/>
    <w:rsid w:val="00766995"/>
    <w:rsid w:val="00773F21"/>
    <w:rsid w:val="00776D8E"/>
    <w:rsid w:val="00780B96"/>
    <w:rsid w:val="0078209F"/>
    <w:rsid w:val="0078548F"/>
    <w:rsid w:val="00790273"/>
    <w:rsid w:val="00792C8C"/>
    <w:rsid w:val="007A584B"/>
    <w:rsid w:val="007B4CBB"/>
    <w:rsid w:val="007B7004"/>
    <w:rsid w:val="007E04EC"/>
    <w:rsid w:val="007E1758"/>
    <w:rsid w:val="007E3C0B"/>
    <w:rsid w:val="007F02BA"/>
    <w:rsid w:val="007F040B"/>
    <w:rsid w:val="007F577B"/>
    <w:rsid w:val="007F6297"/>
    <w:rsid w:val="00801A52"/>
    <w:rsid w:val="0080474C"/>
    <w:rsid w:val="00821940"/>
    <w:rsid w:val="00832AE0"/>
    <w:rsid w:val="00834FAF"/>
    <w:rsid w:val="0084210F"/>
    <w:rsid w:val="008501DD"/>
    <w:rsid w:val="008715A8"/>
    <w:rsid w:val="008A1EEC"/>
    <w:rsid w:val="008A3C55"/>
    <w:rsid w:val="008A4484"/>
    <w:rsid w:val="008B2920"/>
    <w:rsid w:val="008B29AC"/>
    <w:rsid w:val="008B5718"/>
    <w:rsid w:val="008C1841"/>
    <w:rsid w:val="008C70E7"/>
    <w:rsid w:val="008D58B5"/>
    <w:rsid w:val="008D787B"/>
    <w:rsid w:val="008E1145"/>
    <w:rsid w:val="008E2F36"/>
    <w:rsid w:val="008E3B1D"/>
    <w:rsid w:val="008F13A1"/>
    <w:rsid w:val="008F1765"/>
    <w:rsid w:val="008F4FB8"/>
    <w:rsid w:val="00905ABE"/>
    <w:rsid w:val="00907508"/>
    <w:rsid w:val="00913D24"/>
    <w:rsid w:val="00913EE4"/>
    <w:rsid w:val="0091584C"/>
    <w:rsid w:val="00923CD2"/>
    <w:rsid w:val="009300B2"/>
    <w:rsid w:val="00954021"/>
    <w:rsid w:val="0097758F"/>
    <w:rsid w:val="00984F86"/>
    <w:rsid w:val="00994DE8"/>
    <w:rsid w:val="009A16DF"/>
    <w:rsid w:val="009C6D11"/>
    <w:rsid w:val="009D2CFF"/>
    <w:rsid w:val="009D6CC6"/>
    <w:rsid w:val="009E603E"/>
    <w:rsid w:val="009F27A3"/>
    <w:rsid w:val="009F59D8"/>
    <w:rsid w:val="00A01606"/>
    <w:rsid w:val="00A02FCF"/>
    <w:rsid w:val="00A07A0F"/>
    <w:rsid w:val="00A24287"/>
    <w:rsid w:val="00A312F4"/>
    <w:rsid w:val="00A31650"/>
    <w:rsid w:val="00A40CEB"/>
    <w:rsid w:val="00A44B2F"/>
    <w:rsid w:val="00A62A7C"/>
    <w:rsid w:val="00A64288"/>
    <w:rsid w:val="00A674F6"/>
    <w:rsid w:val="00A72189"/>
    <w:rsid w:val="00A7333D"/>
    <w:rsid w:val="00A7629E"/>
    <w:rsid w:val="00A80AA6"/>
    <w:rsid w:val="00A82D73"/>
    <w:rsid w:val="00A831E3"/>
    <w:rsid w:val="00A87EAC"/>
    <w:rsid w:val="00A91BBF"/>
    <w:rsid w:val="00A971FC"/>
    <w:rsid w:val="00AA1732"/>
    <w:rsid w:val="00AD2109"/>
    <w:rsid w:val="00AE0D37"/>
    <w:rsid w:val="00AF045C"/>
    <w:rsid w:val="00AF6796"/>
    <w:rsid w:val="00AF6B6B"/>
    <w:rsid w:val="00B04818"/>
    <w:rsid w:val="00B05672"/>
    <w:rsid w:val="00B237FA"/>
    <w:rsid w:val="00B4119A"/>
    <w:rsid w:val="00B414B0"/>
    <w:rsid w:val="00B475D8"/>
    <w:rsid w:val="00B626A4"/>
    <w:rsid w:val="00B82897"/>
    <w:rsid w:val="00B9237E"/>
    <w:rsid w:val="00B923F5"/>
    <w:rsid w:val="00B93472"/>
    <w:rsid w:val="00B93972"/>
    <w:rsid w:val="00BA3B78"/>
    <w:rsid w:val="00BB099B"/>
    <w:rsid w:val="00BB1B78"/>
    <w:rsid w:val="00BB682A"/>
    <w:rsid w:val="00BC16A7"/>
    <w:rsid w:val="00BC2354"/>
    <w:rsid w:val="00BC2A31"/>
    <w:rsid w:val="00BD75B5"/>
    <w:rsid w:val="00BE1B2C"/>
    <w:rsid w:val="00BE2F02"/>
    <w:rsid w:val="00BE43FC"/>
    <w:rsid w:val="00BE656E"/>
    <w:rsid w:val="00BE7333"/>
    <w:rsid w:val="00C04B59"/>
    <w:rsid w:val="00C11B06"/>
    <w:rsid w:val="00C2176A"/>
    <w:rsid w:val="00C27188"/>
    <w:rsid w:val="00C52791"/>
    <w:rsid w:val="00C62B27"/>
    <w:rsid w:val="00C679B0"/>
    <w:rsid w:val="00C72418"/>
    <w:rsid w:val="00C72B23"/>
    <w:rsid w:val="00C74619"/>
    <w:rsid w:val="00C802E3"/>
    <w:rsid w:val="00C91E5B"/>
    <w:rsid w:val="00C93CC9"/>
    <w:rsid w:val="00CA2981"/>
    <w:rsid w:val="00CA73E4"/>
    <w:rsid w:val="00CB4826"/>
    <w:rsid w:val="00CB56B0"/>
    <w:rsid w:val="00CC027C"/>
    <w:rsid w:val="00CC3BCC"/>
    <w:rsid w:val="00CC6073"/>
    <w:rsid w:val="00CC793D"/>
    <w:rsid w:val="00CE0142"/>
    <w:rsid w:val="00CE3E79"/>
    <w:rsid w:val="00D0147E"/>
    <w:rsid w:val="00D22D24"/>
    <w:rsid w:val="00D3681F"/>
    <w:rsid w:val="00D462BA"/>
    <w:rsid w:val="00D53339"/>
    <w:rsid w:val="00D545C3"/>
    <w:rsid w:val="00D56719"/>
    <w:rsid w:val="00D62A60"/>
    <w:rsid w:val="00D66869"/>
    <w:rsid w:val="00D76B01"/>
    <w:rsid w:val="00D8435D"/>
    <w:rsid w:val="00D955E6"/>
    <w:rsid w:val="00DA7622"/>
    <w:rsid w:val="00DB1228"/>
    <w:rsid w:val="00DD6974"/>
    <w:rsid w:val="00DE25DA"/>
    <w:rsid w:val="00DE4323"/>
    <w:rsid w:val="00DF00A5"/>
    <w:rsid w:val="00DF7DFE"/>
    <w:rsid w:val="00E0671E"/>
    <w:rsid w:val="00E13A89"/>
    <w:rsid w:val="00E21624"/>
    <w:rsid w:val="00E251C9"/>
    <w:rsid w:val="00E4008F"/>
    <w:rsid w:val="00E4294F"/>
    <w:rsid w:val="00E47959"/>
    <w:rsid w:val="00E56D6D"/>
    <w:rsid w:val="00E60173"/>
    <w:rsid w:val="00E650EB"/>
    <w:rsid w:val="00E658A4"/>
    <w:rsid w:val="00EA49AB"/>
    <w:rsid w:val="00EA67E2"/>
    <w:rsid w:val="00EB3C1A"/>
    <w:rsid w:val="00EB5173"/>
    <w:rsid w:val="00EF11D2"/>
    <w:rsid w:val="00EF17D9"/>
    <w:rsid w:val="00EF241F"/>
    <w:rsid w:val="00EF48BB"/>
    <w:rsid w:val="00EF561F"/>
    <w:rsid w:val="00F00552"/>
    <w:rsid w:val="00F02310"/>
    <w:rsid w:val="00F029A6"/>
    <w:rsid w:val="00F041E4"/>
    <w:rsid w:val="00F122B0"/>
    <w:rsid w:val="00F177F2"/>
    <w:rsid w:val="00F17FBE"/>
    <w:rsid w:val="00F2394C"/>
    <w:rsid w:val="00F401F2"/>
    <w:rsid w:val="00F448F2"/>
    <w:rsid w:val="00F501BF"/>
    <w:rsid w:val="00F53570"/>
    <w:rsid w:val="00F55F06"/>
    <w:rsid w:val="00F673CF"/>
    <w:rsid w:val="00F80E00"/>
    <w:rsid w:val="00F864D6"/>
    <w:rsid w:val="00F90751"/>
    <w:rsid w:val="00F9694B"/>
    <w:rsid w:val="00FA2305"/>
    <w:rsid w:val="00FB7B86"/>
    <w:rsid w:val="00FD6DAD"/>
    <w:rsid w:val="00FD751A"/>
    <w:rsid w:val="00FE507A"/>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EC7"/>
  <w15:chartTrackingRefBased/>
  <w15:docId w15:val="{AC1B6C1C-5BB7-496F-8E59-2FFD2BE9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A89"/>
    <w:rPr>
      <w:color w:val="0563C1" w:themeColor="hyperlink"/>
      <w:u w:val="single"/>
    </w:rPr>
  </w:style>
  <w:style w:type="paragraph" w:styleId="ListParagraph">
    <w:name w:val="List Paragraph"/>
    <w:basedOn w:val="Normal"/>
    <w:uiPriority w:val="34"/>
    <w:qFormat/>
    <w:rsid w:val="00E13A89"/>
    <w:pPr>
      <w:ind w:left="720"/>
      <w:contextualSpacing/>
    </w:pPr>
  </w:style>
  <w:style w:type="character" w:styleId="UnresolvedMention">
    <w:name w:val="Unresolved Mention"/>
    <w:basedOn w:val="DefaultParagraphFont"/>
    <w:uiPriority w:val="99"/>
    <w:semiHidden/>
    <w:unhideWhenUsed/>
    <w:rsid w:val="005946E7"/>
    <w:rPr>
      <w:color w:val="605E5C"/>
      <w:shd w:val="clear" w:color="auto" w:fill="E1DFDD"/>
    </w:rPr>
  </w:style>
  <w:style w:type="paragraph" w:styleId="Revision">
    <w:name w:val="Revision"/>
    <w:hidden/>
    <w:uiPriority w:val="99"/>
    <w:semiHidden/>
    <w:rsid w:val="00F501BF"/>
    <w:pPr>
      <w:spacing w:after="0" w:line="240" w:lineRule="auto"/>
    </w:pPr>
  </w:style>
  <w:style w:type="character" w:styleId="CommentReference">
    <w:name w:val="annotation reference"/>
    <w:basedOn w:val="DefaultParagraphFont"/>
    <w:uiPriority w:val="99"/>
    <w:semiHidden/>
    <w:unhideWhenUsed/>
    <w:rsid w:val="00F501BF"/>
    <w:rPr>
      <w:sz w:val="16"/>
      <w:szCs w:val="16"/>
    </w:rPr>
  </w:style>
  <w:style w:type="paragraph" w:styleId="CommentText">
    <w:name w:val="annotation text"/>
    <w:basedOn w:val="Normal"/>
    <w:link w:val="CommentTextChar"/>
    <w:uiPriority w:val="99"/>
    <w:unhideWhenUsed/>
    <w:rsid w:val="00F501BF"/>
    <w:rPr>
      <w:sz w:val="20"/>
      <w:szCs w:val="20"/>
    </w:rPr>
  </w:style>
  <w:style w:type="character" w:customStyle="1" w:styleId="CommentTextChar">
    <w:name w:val="Comment Text Char"/>
    <w:basedOn w:val="DefaultParagraphFont"/>
    <w:link w:val="CommentText"/>
    <w:uiPriority w:val="99"/>
    <w:rsid w:val="00F501BF"/>
    <w:rPr>
      <w:sz w:val="20"/>
      <w:szCs w:val="20"/>
    </w:rPr>
  </w:style>
  <w:style w:type="paragraph" w:styleId="CommentSubject">
    <w:name w:val="annotation subject"/>
    <w:basedOn w:val="CommentText"/>
    <w:next w:val="CommentText"/>
    <w:link w:val="CommentSubjectChar"/>
    <w:uiPriority w:val="99"/>
    <w:semiHidden/>
    <w:unhideWhenUsed/>
    <w:rsid w:val="00F501BF"/>
    <w:rPr>
      <w:b/>
      <w:bCs/>
    </w:rPr>
  </w:style>
  <w:style w:type="character" w:customStyle="1" w:styleId="CommentSubjectChar">
    <w:name w:val="Comment Subject Char"/>
    <w:basedOn w:val="CommentTextChar"/>
    <w:link w:val="CommentSubject"/>
    <w:uiPriority w:val="99"/>
    <w:semiHidden/>
    <w:rsid w:val="00F501BF"/>
    <w:rPr>
      <w:b/>
      <w:bCs/>
      <w:sz w:val="20"/>
      <w:szCs w:val="20"/>
    </w:rPr>
  </w:style>
  <w:style w:type="character" w:styleId="FollowedHyperlink">
    <w:name w:val="FollowedHyperlink"/>
    <w:basedOn w:val="DefaultParagraphFont"/>
    <w:uiPriority w:val="99"/>
    <w:semiHidden/>
    <w:unhideWhenUsed/>
    <w:rsid w:val="00EB5173"/>
    <w:rPr>
      <w:color w:val="954F72" w:themeColor="followedHyperlink"/>
      <w:u w:val="single"/>
    </w:rPr>
  </w:style>
  <w:style w:type="paragraph" w:styleId="Header">
    <w:name w:val="header"/>
    <w:basedOn w:val="Normal"/>
    <w:link w:val="HeaderChar"/>
    <w:uiPriority w:val="99"/>
    <w:unhideWhenUsed/>
    <w:rsid w:val="00CB4826"/>
    <w:pPr>
      <w:tabs>
        <w:tab w:val="center" w:pos="4680"/>
        <w:tab w:val="right" w:pos="9360"/>
      </w:tabs>
    </w:pPr>
  </w:style>
  <w:style w:type="character" w:customStyle="1" w:styleId="HeaderChar">
    <w:name w:val="Header Char"/>
    <w:basedOn w:val="DefaultParagraphFont"/>
    <w:link w:val="Header"/>
    <w:uiPriority w:val="99"/>
    <w:rsid w:val="00CB4826"/>
  </w:style>
  <w:style w:type="paragraph" w:styleId="Footer">
    <w:name w:val="footer"/>
    <w:basedOn w:val="Normal"/>
    <w:link w:val="FooterChar"/>
    <w:uiPriority w:val="99"/>
    <w:unhideWhenUsed/>
    <w:rsid w:val="00CB4826"/>
    <w:pPr>
      <w:tabs>
        <w:tab w:val="center" w:pos="4680"/>
        <w:tab w:val="right" w:pos="9360"/>
      </w:tabs>
    </w:pPr>
  </w:style>
  <w:style w:type="character" w:customStyle="1" w:styleId="FooterChar">
    <w:name w:val="Footer Char"/>
    <w:basedOn w:val="DefaultParagraphFont"/>
    <w:link w:val="Footer"/>
    <w:uiPriority w:val="99"/>
    <w:rsid w:val="00CB4826"/>
  </w:style>
  <w:style w:type="paragraph" w:styleId="NoSpacing">
    <w:name w:val="No Spacing"/>
    <w:uiPriority w:val="1"/>
    <w:qFormat/>
    <w:rsid w:val="00C27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ifferwolf.com/wp-content/uploads/2025/01/Fidelity-Chadwick-Statement-of-Claim_v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ancial-planning.com/news/thomas-m-chadwick-charged-with-fraud-for-etns" TargetMode="External"/><Relationship Id="rId12" Type="http://schemas.openxmlformats.org/officeDocument/2006/relationships/hyperlink" Target="https://brokerwat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arlin@hastingsgroupmedia.com" TargetMode="External"/><Relationship Id="rId5" Type="http://schemas.openxmlformats.org/officeDocument/2006/relationships/footnotes" Target="footnotes.xml"/><Relationship Id="rId10" Type="http://schemas.openxmlformats.org/officeDocument/2006/relationships/hyperlink" Target="https://adviserinfo.sec.gov/individual/summary/2870028" TargetMode="External"/><Relationship Id="rId4" Type="http://schemas.openxmlformats.org/officeDocument/2006/relationships/webSettings" Target="webSettings.xml"/><Relationship Id="rId9" Type="http://schemas.openxmlformats.org/officeDocument/2006/relationships/hyperlink" Target="https://www.sos.nh.gov/sites/g/files/ehbemt561/files/inline-documents/sonh/4-25-24-bureau-of-securities-regulation-reaches-nearly-6-million-dollar-settlement-against-former-financial-adviser-thomas-chadwick-remediate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Karlin</dc:creator>
  <cp:keywords/>
  <dc:description/>
  <cp:lastModifiedBy>Maxwell Karlin</cp:lastModifiedBy>
  <cp:revision>2</cp:revision>
  <dcterms:created xsi:type="dcterms:W3CDTF">2025-01-29T18:09:00Z</dcterms:created>
  <dcterms:modified xsi:type="dcterms:W3CDTF">2025-01-29T18:09:00Z</dcterms:modified>
</cp:coreProperties>
</file>